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705" w14:textId="4ACC83EE" w:rsidR="007F31A6" w:rsidRDefault="007D0FF6" w:rsidP="00A42B26">
      <w:pPr>
        <w:pStyle w:val="ReportTitle"/>
      </w:pPr>
      <w:bookmarkStart w:id="0" w:name="_Hlk218689653"/>
      <w:r>
        <w:t xml:space="preserve">Transit </w:t>
      </w:r>
      <w:r w:rsidR="00C71FC8">
        <w:t>Expansion</w:t>
      </w:r>
    </w:p>
    <w:p w14:paraId="4CDD5D1C" w14:textId="004B1422" w:rsidR="007F31A6" w:rsidRPr="00D349FD" w:rsidRDefault="007F31A6" w:rsidP="00CB61FE">
      <w:pPr>
        <w:pStyle w:val="Heading1"/>
      </w:pPr>
      <w:r w:rsidRPr="00D349FD">
        <w:t>Prioritizing Criteria and Measures</w:t>
      </w:r>
    </w:p>
    <w:p w14:paraId="6D6195B8" w14:textId="3B08C9D8" w:rsidR="00F3483A" w:rsidRPr="00B854D7" w:rsidRDefault="00A1457D" w:rsidP="00B854D7">
      <w:pPr>
        <w:rPr>
          <w:b/>
          <w:bCs/>
        </w:rPr>
      </w:pPr>
      <w:r>
        <w:rPr>
          <w:b/>
          <w:bCs/>
        </w:rPr>
        <w:t xml:space="preserve">2050 </w:t>
      </w:r>
      <w:r w:rsidR="004D628A" w:rsidRPr="00B854D7">
        <w:rPr>
          <w:b/>
          <w:bCs/>
        </w:rPr>
        <w:t xml:space="preserve">TPP </w:t>
      </w:r>
      <w:r w:rsidR="0017095D" w:rsidRPr="00B854D7">
        <w:rPr>
          <w:b/>
          <w:bCs/>
        </w:rPr>
        <w:t>Goal:</w:t>
      </w:r>
      <w:r w:rsidR="007D0FF6" w:rsidRPr="00B854D7">
        <w:rPr>
          <w:b/>
          <w:bCs/>
        </w:rPr>
        <w:t xml:space="preserve"> </w:t>
      </w:r>
      <w:r w:rsidR="0FE4C15B" w:rsidRPr="00B854D7">
        <w:t xml:space="preserve">Our </w:t>
      </w:r>
      <w:r w:rsidR="0038267F">
        <w:t>r</w:t>
      </w:r>
      <w:r w:rsidR="0FE4C15B" w:rsidRPr="00B854D7">
        <w:t xml:space="preserve">egion is </w:t>
      </w:r>
      <w:r w:rsidR="0038267F">
        <w:t>d</w:t>
      </w:r>
      <w:r w:rsidR="007D0FF6" w:rsidRPr="00B854D7">
        <w:t xml:space="preserve">ynamic and </w:t>
      </w:r>
      <w:r w:rsidR="0038267F">
        <w:t>r</w:t>
      </w:r>
      <w:r w:rsidR="007D0FF6" w:rsidRPr="00B854D7">
        <w:t>esilient</w:t>
      </w:r>
    </w:p>
    <w:p w14:paraId="42248F6C" w14:textId="0008A750" w:rsidR="0017095D" w:rsidRPr="00B854D7" w:rsidRDefault="00A1457D" w:rsidP="00F57F56">
      <w:pPr>
        <w:spacing w:after="0"/>
        <w:rPr>
          <w:b/>
          <w:bCs/>
        </w:rPr>
      </w:pPr>
      <w:r>
        <w:rPr>
          <w:rFonts w:eastAsia="Arial" w:cs="Arial"/>
          <w:b/>
          <w:bCs/>
        </w:rPr>
        <w:t xml:space="preserve">2050 </w:t>
      </w:r>
      <w:r w:rsidR="004D48A8" w:rsidRPr="007531E8">
        <w:rPr>
          <w:rFonts w:eastAsia="Arial" w:cs="Arial"/>
          <w:b/>
          <w:bCs/>
        </w:rPr>
        <w:t xml:space="preserve">TPP </w:t>
      </w:r>
      <w:r w:rsidR="00960236">
        <w:rPr>
          <w:rFonts w:eastAsia="Arial" w:cs="Arial"/>
          <w:b/>
          <w:bCs/>
        </w:rPr>
        <w:t xml:space="preserve">Objectives or </w:t>
      </w:r>
      <w:r w:rsidR="004D48A8">
        <w:rPr>
          <w:rFonts w:eastAsia="Arial" w:cs="Arial"/>
          <w:b/>
          <w:bCs/>
        </w:rPr>
        <w:t>Policies</w:t>
      </w:r>
      <w:r w:rsidR="0017095D" w:rsidRPr="00B854D7">
        <w:rPr>
          <w:b/>
          <w:bCs/>
        </w:rPr>
        <w:t>:</w:t>
      </w:r>
    </w:p>
    <w:p w14:paraId="53ED48CA" w14:textId="67420E31" w:rsidR="000E50F6" w:rsidRPr="007C7462" w:rsidRDefault="000E50F6" w:rsidP="00DE0DF3">
      <w:pPr>
        <w:pStyle w:val="ListParagraph"/>
        <w:numPr>
          <w:ilvl w:val="0"/>
          <w:numId w:val="31"/>
        </w:numPr>
      </w:pPr>
      <w:r w:rsidRPr="007C7462">
        <w:t>People have better travel options beyond driving alone to meet their daily needs, with a focus on improving travel times, reliability, directness, and affordability</w:t>
      </w:r>
      <w:r w:rsidR="007F74F8">
        <w:t>.</w:t>
      </w:r>
    </w:p>
    <w:p w14:paraId="510E566E" w14:textId="6C27690E" w:rsidR="000E50F6" w:rsidRPr="007C7462" w:rsidRDefault="000E50F6" w:rsidP="00DE0DF3">
      <w:pPr>
        <w:pStyle w:val="ListParagraph"/>
        <w:numPr>
          <w:ilvl w:val="0"/>
          <w:numId w:val="31"/>
        </w:numPr>
      </w:pPr>
      <w:r w:rsidRPr="007C7462">
        <w:t>People have more predictable travel times when traveling on highways, with a focus on reducing excessive delays</w:t>
      </w:r>
      <w:r w:rsidR="007F74F8">
        <w:t>.</w:t>
      </w:r>
    </w:p>
    <w:p w14:paraId="633E10C9" w14:textId="70D9DCC5" w:rsidR="007D0FF6" w:rsidRPr="00DA2F0C" w:rsidRDefault="0017095D" w:rsidP="00DA2F0C">
      <w:pPr>
        <w:rPr>
          <w:b/>
          <w:bCs/>
        </w:rPr>
      </w:pPr>
      <w:r w:rsidRPr="4F47FA11">
        <w:rPr>
          <w:b/>
          <w:bCs/>
        </w:rPr>
        <w:t xml:space="preserve">Category </w:t>
      </w:r>
      <w:r w:rsidR="007F31A6" w:rsidRPr="4F47FA11">
        <w:rPr>
          <w:b/>
          <w:bCs/>
        </w:rPr>
        <w:t xml:space="preserve">Definition: </w:t>
      </w:r>
      <w:r w:rsidR="00267F02">
        <w:t>The Transit Expansion category seeks to fund new</w:t>
      </w:r>
      <w:r w:rsidR="7B4764AF">
        <w:t>/</w:t>
      </w:r>
      <w:r w:rsidR="00267F02">
        <w:t>expanded transit services or facilities</w:t>
      </w:r>
      <w:r w:rsidR="53AE322C">
        <w:t xml:space="preserve"> with expanded service</w:t>
      </w:r>
      <w:r w:rsidR="00267F02">
        <w:t xml:space="preserve"> with the intent of attracting new riders to the system or improving transit coverage with expanded geographic coverage or service at new times of the day or week.</w:t>
      </w:r>
    </w:p>
    <w:p w14:paraId="5469D60B" w14:textId="334BC3B5" w:rsidR="006F5B23" w:rsidRPr="006F5B23" w:rsidRDefault="007F31A6" w:rsidP="00CD640E">
      <w:pPr>
        <w:pStyle w:val="Heading1"/>
      </w:pPr>
      <w:r w:rsidRPr="00D068AB">
        <w:t>Scoring</w:t>
      </w:r>
    </w:p>
    <w:tbl>
      <w:tblPr>
        <w:tblStyle w:val="ListTable3-Accent1"/>
        <w:tblW w:w="5000" w:type="pct"/>
        <w:tblLayout w:type="fixed"/>
        <w:tblLook w:val="04A0" w:firstRow="1" w:lastRow="0" w:firstColumn="1" w:lastColumn="0" w:noHBand="0" w:noVBand="1"/>
      </w:tblPr>
      <w:tblGrid>
        <w:gridCol w:w="8735"/>
        <w:gridCol w:w="1335"/>
      </w:tblGrid>
      <w:tr w:rsidR="00CD640E" w:rsidRPr="00D068AB" w14:paraId="4BFAEE2D" w14:textId="77777777" w:rsidTr="005C08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4" w:space="0" w:color="4F81BD" w:themeColor="accent1"/>
            </w:tcBorders>
          </w:tcPr>
          <w:p w14:paraId="7BB78CA1" w14:textId="77777777" w:rsidR="00CD640E" w:rsidRPr="00D068AB" w:rsidRDefault="00CD640E" w:rsidP="00AE1D06">
            <w:pPr>
              <w:pStyle w:val="TableHeader"/>
              <w:spacing w:before="120" w:after="0"/>
              <w:rPr>
                <w:color w:val="FFFFFF" w:themeColor="background1"/>
              </w:rPr>
            </w:pPr>
            <w:r w:rsidRPr="00AE1D06">
              <w:rPr>
                <w:rFonts w:ascii="Arial" w:hAnsi="Arial"/>
                <w:b/>
                <w:bCs/>
                <w:color w:val="FFFFFF" w:themeColor="background1"/>
                <w:szCs w:val="22"/>
              </w:rPr>
              <w:t>Criteria and Measures</w:t>
            </w:r>
          </w:p>
        </w:tc>
        <w:tc>
          <w:tcPr>
            <w:tcW w:w="1210" w:type="dxa"/>
            <w:tcBorders>
              <w:bottom w:val="single" w:sz="4" w:space="0" w:color="4F81BD" w:themeColor="accent1"/>
            </w:tcBorders>
          </w:tcPr>
          <w:p w14:paraId="106D4BA0" w14:textId="14ACB448" w:rsidR="00CD640E" w:rsidRPr="00D068AB" w:rsidRDefault="00CD640E" w:rsidP="000E210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045">
              <w:rPr>
                <w:rFonts w:ascii="Arial" w:hAnsi="Arial"/>
                <w:b/>
                <w:bCs/>
                <w:color w:val="FFFFFF" w:themeColor="background1"/>
                <w:szCs w:val="22"/>
              </w:rPr>
              <w:t>%</w:t>
            </w:r>
          </w:p>
        </w:tc>
      </w:tr>
      <w:tr w:rsidR="00CD640E" w:rsidRPr="00D068AB" w14:paraId="78D8D8E9"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bottom w:val="nil"/>
            </w:tcBorders>
          </w:tcPr>
          <w:p w14:paraId="748FFEE6" w14:textId="5FFD2784" w:rsidR="00CD640E" w:rsidRPr="00D068AB" w:rsidRDefault="00CD640E" w:rsidP="00321E10">
            <w:pPr>
              <w:pStyle w:val="ListParagraph"/>
              <w:numPr>
                <w:ilvl w:val="0"/>
                <w:numId w:val="5"/>
              </w:numPr>
              <w:spacing w:after="0"/>
              <w:rPr>
                <w:b w:val="0"/>
              </w:rPr>
            </w:pPr>
            <w:r w:rsidRPr="00280187">
              <w:t>Service</w:t>
            </w:r>
            <w:r>
              <w:t>/Facility</w:t>
            </w:r>
            <w:r w:rsidRPr="00280187">
              <w:t xml:space="preserve"> Provided Must be Effective for Transit Market Area</w:t>
            </w:r>
          </w:p>
        </w:tc>
        <w:tc>
          <w:tcPr>
            <w:tcW w:w="1210" w:type="dxa"/>
            <w:tcBorders>
              <w:bottom w:val="nil"/>
            </w:tcBorders>
          </w:tcPr>
          <w:p w14:paraId="5B1CBF04" w14:textId="009AD7E9" w:rsidR="00CD640E" w:rsidRPr="00D41749" w:rsidRDefault="00CD640E" w:rsidP="000E210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30</w:t>
            </w:r>
          </w:p>
        </w:tc>
      </w:tr>
      <w:tr w:rsidR="00CD640E" w:rsidRPr="00D068AB" w14:paraId="010370A4"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71C70807" w14:textId="79CB4351" w:rsidR="00CD640E" w:rsidRPr="00DF1BF8" w:rsidRDefault="00CD640E" w:rsidP="008F70CB">
            <w:pPr>
              <w:pStyle w:val="ListParagraph"/>
              <w:spacing w:after="0"/>
            </w:pPr>
            <w:r w:rsidRPr="00DF1BF8">
              <w:rPr>
                <w:b w:val="0"/>
                <w:bCs w:val="0"/>
              </w:rPr>
              <w:t xml:space="preserve">Measure A – Transit </w:t>
            </w:r>
            <w:r>
              <w:rPr>
                <w:b w:val="0"/>
                <w:bCs w:val="0"/>
              </w:rPr>
              <w:t>M</w:t>
            </w:r>
            <w:r w:rsidRPr="00DF1BF8">
              <w:rPr>
                <w:b w:val="0"/>
                <w:bCs w:val="0"/>
              </w:rPr>
              <w:t xml:space="preserve">arket </w:t>
            </w:r>
            <w:r>
              <w:rPr>
                <w:b w:val="0"/>
                <w:bCs w:val="0"/>
              </w:rPr>
              <w:t>A</w:t>
            </w:r>
            <w:r w:rsidRPr="00DF1BF8">
              <w:rPr>
                <w:b w:val="0"/>
                <w:bCs w:val="0"/>
              </w:rPr>
              <w:t xml:space="preserve">rea </w:t>
            </w:r>
            <w:r w:rsidR="00925752">
              <w:rPr>
                <w:b w:val="0"/>
                <w:bCs w:val="0"/>
              </w:rPr>
              <w:t>a</w:t>
            </w:r>
            <w:r>
              <w:rPr>
                <w:b w:val="0"/>
                <w:bCs w:val="0"/>
              </w:rPr>
              <w:t>lignment</w:t>
            </w:r>
          </w:p>
        </w:tc>
        <w:tc>
          <w:tcPr>
            <w:tcW w:w="1210" w:type="dxa"/>
            <w:tcBorders>
              <w:top w:val="nil"/>
              <w:bottom w:val="nil"/>
            </w:tcBorders>
          </w:tcPr>
          <w:p w14:paraId="42A64DCC" w14:textId="2FADEE07" w:rsidR="00CD640E" w:rsidRPr="00D41749" w:rsidRDefault="00CD640E" w:rsidP="04E4C27E">
            <w:pPr>
              <w:pStyle w:val="TableTextCurrency"/>
              <w:spacing w:before="0" w:after="0" w:line="259" w:lineRule="auto"/>
              <w:ind w:left="0" w:right="0"/>
              <w:jc w:val="center"/>
              <w:cnfStyle w:val="000000000000" w:firstRow="0" w:lastRow="0" w:firstColumn="0" w:lastColumn="0" w:oddVBand="0" w:evenVBand="0" w:oddHBand="0" w:evenHBand="0" w:firstRowFirstColumn="0" w:firstRowLastColumn="0" w:lastRowFirstColumn="0" w:lastRowLastColumn="0"/>
              <w:rPr>
                <w:color w:val="505150"/>
              </w:rPr>
            </w:pPr>
            <w:r w:rsidRPr="00D41749">
              <w:rPr>
                <w:rFonts w:ascii="Arial" w:hAnsi="Arial"/>
                <w:color w:val="505150"/>
                <w:sz w:val="22"/>
                <w:szCs w:val="22"/>
              </w:rPr>
              <w:t>10</w:t>
            </w:r>
          </w:p>
        </w:tc>
      </w:tr>
      <w:tr w:rsidR="00CD640E" w:rsidRPr="00D068AB" w14:paraId="43488F05"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0BF6CB6C" w14:textId="5A3A1A6F" w:rsidR="00CD640E" w:rsidRPr="00DF1BF8" w:rsidRDefault="00CD640E" w:rsidP="008F70CB">
            <w:pPr>
              <w:pStyle w:val="ListParagraph"/>
              <w:spacing w:after="0"/>
            </w:pPr>
            <w:r>
              <w:rPr>
                <w:b w:val="0"/>
                <w:bCs w:val="0"/>
              </w:rPr>
              <w:t>Measure B – Regional Transit Performance Guidelines</w:t>
            </w:r>
          </w:p>
        </w:tc>
        <w:tc>
          <w:tcPr>
            <w:tcW w:w="1210" w:type="dxa"/>
            <w:tcBorders>
              <w:top w:val="nil"/>
              <w:bottom w:val="single" w:sz="18" w:space="0" w:color="4F81BD" w:themeColor="accent1"/>
            </w:tcBorders>
          </w:tcPr>
          <w:p w14:paraId="4A94A346" w14:textId="4F59BAEB" w:rsidR="00CD640E" w:rsidRPr="00D41749" w:rsidRDefault="00CD640E" w:rsidP="04E4C27E">
            <w:pPr>
              <w:pStyle w:val="TableTextCurrency"/>
              <w:spacing w:before="0" w:after="0" w:line="259" w:lineRule="auto"/>
              <w:ind w:left="0" w:right="0"/>
              <w:jc w:val="center"/>
              <w:cnfStyle w:val="000000100000" w:firstRow="0" w:lastRow="0" w:firstColumn="0" w:lastColumn="0" w:oddVBand="0" w:evenVBand="0" w:oddHBand="1" w:evenHBand="0" w:firstRowFirstColumn="0" w:firstRowLastColumn="0" w:lastRowFirstColumn="0" w:lastRowLastColumn="0"/>
              <w:rPr>
                <w:color w:val="505150"/>
              </w:rPr>
            </w:pPr>
            <w:r w:rsidRPr="00D41749">
              <w:rPr>
                <w:rFonts w:ascii="Arial" w:hAnsi="Arial"/>
                <w:color w:val="505150"/>
                <w:sz w:val="22"/>
                <w:szCs w:val="22"/>
              </w:rPr>
              <w:t>20</w:t>
            </w:r>
          </w:p>
        </w:tc>
      </w:tr>
      <w:tr w:rsidR="00CD640E" w:rsidRPr="00D068AB" w14:paraId="7DB10232"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41D120DC" w14:textId="184EB379" w:rsidR="00CD640E" w:rsidRPr="00DF1BF8" w:rsidRDefault="00CD640E" w:rsidP="00321E10">
            <w:pPr>
              <w:pStyle w:val="ListParagraph"/>
              <w:numPr>
                <w:ilvl w:val="0"/>
                <w:numId w:val="5"/>
              </w:numPr>
              <w:spacing w:after="0"/>
              <w:rPr>
                <w:b w:val="0"/>
                <w:bCs w:val="0"/>
              </w:rPr>
            </w:pPr>
            <w:r w:rsidRPr="00DF1BF8">
              <w:t>New Ridership</w:t>
            </w:r>
          </w:p>
        </w:tc>
        <w:tc>
          <w:tcPr>
            <w:tcW w:w="1210" w:type="dxa"/>
            <w:tcBorders>
              <w:top w:val="single" w:sz="18" w:space="0" w:color="4F81BD" w:themeColor="accent1"/>
              <w:bottom w:val="nil"/>
            </w:tcBorders>
          </w:tcPr>
          <w:p w14:paraId="39A157C5" w14:textId="4064A8D5"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20</w:t>
            </w:r>
          </w:p>
        </w:tc>
      </w:tr>
      <w:tr w:rsidR="00CD640E" w:rsidRPr="00D068AB" w14:paraId="4F2E4F30"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6536A1B8" w14:textId="18272CC5" w:rsidR="00CD640E" w:rsidRPr="00DF1BF8" w:rsidRDefault="00CD640E" w:rsidP="00321E10">
            <w:pPr>
              <w:pStyle w:val="ListParagraph"/>
              <w:spacing w:after="0"/>
            </w:pPr>
            <w:r w:rsidRPr="00DF1BF8">
              <w:rPr>
                <w:b w:val="0"/>
                <w:bCs w:val="0"/>
              </w:rPr>
              <w:t>Measure A – New annual riders</w:t>
            </w:r>
          </w:p>
        </w:tc>
        <w:tc>
          <w:tcPr>
            <w:tcW w:w="1210" w:type="dxa"/>
            <w:tcBorders>
              <w:top w:val="nil"/>
              <w:bottom w:val="single" w:sz="18" w:space="0" w:color="4F81BD" w:themeColor="accent1"/>
            </w:tcBorders>
          </w:tcPr>
          <w:p w14:paraId="662C5E66" w14:textId="70ADC20D" w:rsidR="00CD640E" w:rsidRPr="00D41749" w:rsidRDefault="00CD640E" w:rsidP="000E210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D41749">
              <w:rPr>
                <w:rFonts w:ascii="Arial" w:hAnsi="Arial"/>
                <w:color w:val="505150"/>
                <w:sz w:val="22"/>
                <w:szCs w:val="22"/>
              </w:rPr>
              <w:t>20</w:t>
            </w:r>
          </w:p>
        </w:tc>
      </w:tr>
      <w:tr w:rsidR="00CD640E" w:rsidRPr="00D068AB" w14:paraId="2E463298"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0218C4C0" w14:textId="3222ACDD" w:rsidR="00CD640E" w:rsidRPr="00DF1BF8" w:rsidRDefault="00CD640E" w:rsidP="00321E10">
            <w:pPr>
              <w:pStyle w:val="ListParagraph"/>
              <w:numPr>
                <w:ilvl w:val="0"/>
                <w:numId w:val="5"/>
              </w:numPr>
              <w:spacing w:after="0"/>
              <w:rPr>
                <w:b w:val="0"/>
                <w:bCs w:val="0"/>
              </w:rPr>
            </w:pPr>
            <w:r w:rsidRPr="00DF1BF8">
              <w:t>New Coverage</w:t>
            </w:r>
          </w:p>
        </w:tc>
        <w:tc>
          <w:tcPr>
            <w:tcW w:w="1210" w:type="dxa"/>
            <w:tcBorders>
              <w:top w:val="single" w:sz="18" w:space="0" w:color="4F81BD" w:themeColor="accent1"/>
              <w:bottom w:val="nil"/>
            </w:tcBorders>
          </w:tcPr>
          <w:p w14:paraId="4B08DE55" w14:textId="54FA6249"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10</w:t>
            </w:r>
          </w:p>
        </w:tc>
      </w:tr>
      <w:tr w:rsidR="00CD640E" w:rsidRPr="00D068AB" w14:paraId="5025FA9F"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18589FA7" w14:textId="31ED5018" w:rsidR="00CD640E" w:rsidRPr="00DF1BF8" w:rsidRDefault="00CD640E" w:rsidP="00321E10">
            <w:pPr>
              <w:pStyle w:val="ListParagraph"/>
              <w:spacing w:after="0"/>
            </w:pPr>
            <w:r w:rsidRPr="00DF1BF8">
              <w:rPr>
                <w:b w:val="0"/>
                <w:bCs w:val="0"/>
              </w:rPr>
              <w:t>Measure A – New service hours by population within service area</w:t>
            </w:r>
          </w:p>
        </w:tc>
        <w:tc>
          <w:tcPr>
            <w:tcW w:w="1210" w:type="dxa"/>
            <w:tcBorders>
              <w:top w:val="nil"/>
              <w:bottom w:val="single" w:sz="18" w:space="0" w:color="4F81BD" w:themeColor="accent1"/>
            </w:tcBorders>
          </w:tcPr>
          <w:p w14:paraId="405D2374" w14:textId="24996436" w:rsidR="00CD640E" w:rsidRPr="00D41749" w:rsidRDefault="00CD640E" w:rsidP="000E210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D41749">
              <w:rPr>
                <w:rFonts w:ascii="Arial" w:hAnsi="Arial"/>
                <w:color w:val="505150"/>
                <w:sz w:val="22"/>
                <w:szCs w:val="22"/>
              </w:rPr>
              <w:t>10</w:t>
            </w:r>
          </w:p>
        </w:tc>
      </w:tr>
      <w:tr w:rsidR="00CD640E" w:rsidRPr="00D068AB" w14:paraId="1EB7BFF2" w14:textId="77777777" w:rsidTr="005C0837">
        <w:trPr>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51D8169B" w14:textId="0E8473BB" w:rsidR="00CD640E" w:rsidRPr="00DF1BF8" w:rsidRDefault="00CD640E" w:rsidP="00321E10">
            <w:pPr>
              <w:pStyle w:val="ListParagraph"/>
              <w:numPr>
                <w:ilvl w:val="0"/>
                <w:numId w:val="5"/>
              </w:numPr>
              <w:spacing w:after="0"/>
            </w:pPr>
            <w:r w:rsidRPr="00DF1BF8">
              <w:t xml:space="preserve">Connection to </w:t>
            </w:r>
            <w:r>
              <w:t xml:space="preserve">Key </w:t>
            </w:r>
            <w:r w:rsidRPr="00DF1BF8">
              <w:t>Destinations</w:t>
            </w:r>
          </w:p>
        </w:tc>
        <w:tc>
          <w:tcPr>
            <w:tcW w:w="1210" w:type="dxa"/>
            <w:tcBorders>
              <w:top w:val="single" w:sz="18" w:space="0" w:color="4F81BD" w:themeColor="accent1"/>
              <w:bottom w:val="nil"/>
            </w:tcBorders>
          </w:tcPr>
          <w:p w14:paraId="07212C93" w14:textId="65A35F2A"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10</w:t>
            </w:r>
          </w:p>
        </w:tc>
      </w:tr>
      <w:tr w:rsidR="00CD640E" w:rsidRPr="00D068AB" w14:paraId="3BC77727"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5D087A40" w14:textId="7D37D29D" w:rsidR="00CD640E" w:rsidRPr="00DF1BF8" w:rsidRDefault="00CD640E" w:rsidP="00321E10">
            <w:pPr>
              <w:pStyle w:val="ListParagraph"/>
              <w:spacing w:after="0"/>
            </w:pPr>
            <w:r w:rsidRPr="00DF1BF8">
              <w:rPr>
                <w:b w:val="0"/>
                <w:bCs w:val="0"/>
              </w:rPr>
              <w:t xml:space="preserve">Measure A – Connection to </w:t>
            </w:r>
            <w:r>
              <w:rPr>
                <w:b w:val="0"/>
                <w:bCs w:val="0"/>
              </w:rPr>
              <w:t>key</w:t>
            </w:r>
            <w:r w:rsidRPr="00DF1BF8">
              <w:rPr>
                <w:b w:val="0"/>
                <w:bCs w:val="0"/>
              </w:rPr>
              <w:t xml:space="preserve"> destinations</w:t>
            </w:r>
          </w:p>
        </w:tc>
        <w:tc>
          <w:tcPr>
            <w:tcW w:w="1210" w:type="dxa"/>
            <w:tcBorders>
              <w:top w:val="nil"/>
              <w:bottom w:val="single" w:sz="18" w:space="0" w:color="4F81BD" w:themeColor="accent1"/>
            </w:tcBorders>
          </w:tcPr>
          <w:p w14:paraId="1F9F4284" w14:textId="5B64B0E1" w:rsidR="00CD640E" w:rsidRPr="00D41749" w:rsidRDefault="00CD640E" w:rsidP="000E210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D41749">
              <w:rPr>
                <w:rFonts w:ascii="Arial" w:hAnsi="Arial"/>
                <w:color w:val="505150"/>
                <w:sz w:val="22"/>
                <w:szCs w:val="22"/>
              </w:rPr>
              <w:t>10</w:t>
            </w:r>
          </w:p>
        </w:tc>
      </w:tr>
      <w:tr w:rsidR="00CD640E" w:rsidRPr="00D068AB" w14:paraId="79E0C2D7"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29B4D6FD" w14:textId="5E53A318" w:rsidR="00CD640E" w:rsidRPr="00DF1BF8" w:rsidRDefault="00CD640E" w:rsidP="00321E10">
            <w:pPr>
              <w:pStyle w:val="ListParagraph"/>
              <w:numPr>
                <w:ilvl w:val="0"/>
                <w:numId w:val="5"/>
              </w:numPr>
              <w:spacing w:after="0"/>
              <w:rPr>
                <w:b w:val="0"/>
                <w:bCs w:val="0"/>
              </w:rPr>
            </w:pPr>
            <w:r w:rsidRPr="00DF1BF8">
              <w:t>Transit Needs-based Determination</w:t>
            </w:r>
          </w:p>
        </w:tc>
        <w:tc>
          <w:tcPr>
            <w:tcW w:w="1210" w:type="dxa"/>
            <w:tcBorders>
              <w:top w:val="single" w:sz="18" w:space="0" w:color="4F81BD" w:themeColor="accent1"/>
              <w:bottom w:val="nil"/>
            </w:tcBorders>
          </w:tcPr>
          <w:p w14:paraId="6B92CD74" w14:textId="4786C984"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10</w:t>
            </w:r>
          </w:p>
        </w:tc>
      </w:tr>
      <w:tr w:rsidR="00CD640E" w:rsidRPr="00D068AB" w14:paraId="61F52A9B"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7B9DC8FC" w14:textId="74BCA409" w:rsidR="00CD640E" w:rsidRPr="00DF1BF8" w:rsidRDefault="00CD640E" w:rsidP="00321E10">
            <w:pPr>
              <w:pStyle w:val="ListParagraph"/>
              <w:spacing w:after="0"/>
              <w:rPr>
                <w:b w:val="0"/>
                <w:bCs w:val="0"/>
              </w:rPr>
            </w:pPr>
            <w:r w:rsidRPr="00DF1BF8">
              <w:rPr>
                <w:b w:val="0"/>
                <w:bCs w:val="0"/>
              </w:rPr>
              <w:t>Measure A – Demographic and roadway delay/reliability data</w:t>
            </w:r>
          </w:p>
        </w:tc>
        <w:tc>
          <w:tcPr>
            <w:tcW w:w="1210" w:type="dxa"/>
            <w:tcBorders>
              <w:top w:val="nil"/>
              <w:bottom w:val="single" w:sz="18" w:space="0" w:color="4F81BD" w:themeColor="accent1"/>
            </w:tcBorders>
          </w:tcPr>
          <w:p w14:paraId="4ABA239D" w14:textId="4D863172" w:rsidR="00CD640E" w:rsidRPr="00D41749" w:rsidRDefault="00CD640E" w:rsidP="000E210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D41749">
              <w:rPr>
                <w:rFonts w:ascii="Arial" w:hAnsi="Arial"/>
                <w:color w:val="505150"/>
                <w:sz w:val="22"/>
                <w:szCs w:val="22"/>
              </w:rPr>
              <w:t>10</w:t>
            </w:r>
          </w:p>
        </w:tc>
      </w:tr>
      <w:tr w:rsidR="00CD640E" w:rsidRPr="00D068AB" w14:paraId="6872B4AD"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66FB19C5" w14:textId="617C6456" w:rsidR="00CD640E" w:rsidRPr="00DF1BF8" w:rsidRDefault="00CD640E" w:rsidP="00321E10">
            <w:pPr>
              <w:pStyle w:val="ListParagraph"/>
              <w:numPr>
                <w:ilvl w:val="0"/>
                <w:numId w:val="5"/>
              </w:numPr>
              <w:spacing w:after="0"/>
            </w:pPr>
            <w:r w:rsidRPr="00DF1BF8">
              <w:t>Community Considerations</w:t>
            </w:r>
          </w:p>
        </w:tc>
        <w:tc>
          <w:tcPr>
            <w:tcW w:w="1210" w:type="dxa"/>
            <w:tcBorders>
              <w:top w:val="single" w:sz="18" w:space="0" w:color="4F81BD" w:themeColor="accent1"/>
              <w:bottom w:val="nil"/>
            </w:tcBorders>
          </w:tcPr>
          <w:p w14:paraId="28D758B4" w14:textId="6EFC78BC"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20</w:t>
            </w:r>
          </w:p>
        </w:tc>
      </w:tr>
      <w:tr w:rsidR="00CD640E" w:rsidRPr="00D068AB" w14:paraId="50CAC418"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6AF58BEA" w14:textId="2F206202" w:rsidR="00CD640E" w:rsidRPr="00DF1BF8" w:rsidRDefault="00CD640E" w:rsidP="00A072E3">
            <w:pPr>
              <w:pStyle w:val="ListParagraph"/>
              <w:spacing w:after="0"/>
            </w:pPr>
            <w:r w:rsidRPr="002B18A6">
              <w:rPr>
                <w:b w:val="0"/>
                <w:bCs w:val="0"/>
              </w:rPr>
              <w:t>Measure A – Community data and context</w:t>
            </w:r>
          </w:p>
        </w:tc>
        <w:tc>
          <w:tcPr>
            <w:tcW w:w="1210" w:type="dxa"/>
            <w:tcBorders>
              <w:top w:val="nil"/>
              <w:bottom w:val="nil"/>
            </w:tcBorders>
            <w:vAlign w:val="center"/>
          </w:tcPr>
          <w:p w14:paraId="103EB5A2" w14:textId="085CACA3" w:rsidR="00CD640E" w:rsidRPr="00D41749" w:rsidRDefault="00CD640E" w:rsidP="00A072E3">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41749">
              <w:rPr>
                <w:rFonts w:ascii="Arial" w:hAnsi="Arial"/>
                <w:color w:val="505150"/>
                <w:sz w:val="22"/>
                <w:szCs w:val="22"/>
              </w:rPr>
              <w:t>6.7</w:t>
            </w:r>
          </w:p>
        </w:tc>
      </w:tr>
      <w:tr w:rsidR="00CD640E" w:rsidRPr="00D068AB" w14:paraId="768A7F4C"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23387873" w14:textId="34447E25" w:rsidR="00CD640E" w:rsidRPr="00DF1BF8" w:rsidRDefault="00CD640E" w:rsidP="00A072E3">
            <w:pPr>
              <w:pStyle w:val="ListParagraph"/>
              <w:spacing w:after="0"/>
            </w:pPr>
            <w:r>
              <w:rPr>
                <w:b w:val="0"/>
                <w:bCs w:val="0"/>
              </w:rPr>
              <w:t>Measure B – Community need and future engagement</w:t>
            </w:r>
          </w:p>
        </w:tc>
        <w:tc>
          <w:tcPr>
            <w:tcW w:w="1210" w:type="dxa"/>
            <w:tcBorders>
              <w:top w:val="nil"/>
              <w:bottom w:val="nil"/>
            </w:tcBorders>
            <w:vAlign w:val="center"/>
          </w:tcPr>
          <w:p w14:paraId="4AF36585" w14:textId="4CD7C4CE" w:rsidR="00CD640E" w:rsidRPr="00D41749" w:rsidRDefault="00CD640E" w:rsidP="00A072E3">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color w:val="505150"/>
                <w:sz w:val="22"/>
                <w:szCs w:val="22"/>
              </w:rPr>
              <w:t>6.7</w:t>
            </w:r>
          </w:p>
        </w:tc>
      </w:tr>
      <w:tr w:rsidR="00CD640E" w:rsidRPr="00D068AB" w14:paraId="55B4D975" w14:textId="77777777" w:rsidTr="005C08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36A54C9D" w14:textId="71075CA9" w:rsidR="00CD640E" w:rsidRPr="00DF1BF8" w:rsidRDefault="00CD640E" w:rsidP="00A072E3">
            <w:pPr>
              <w:pStyle w:val="ListParagraph"/>
              <w:spacing w:after="0"/>
            </w:pPr>
            <w:r>
              <w:rPr>
                <w:b w:val="0"/>
                <w:bCs w:val="0"/>
              </w:rPr>
              <w:t>Measure C – Community benefits</w:t>
            </w:r>
          </w:p>
        </w:tc>
        <w:tc>
          <w:tcPr>
            <w:tcW w:w="1210" w:type="dxa"/>
            <w:tcBorders>
              <w:top w:val="nil"/>
            </w:tcBorders>
            <w:vAlign w:val="center"/>
          </w:tcPr>
          <w:p w14:paraId="0036E9D2" w14:textId="550813EC" w:rsidR="00CD640E" w:rsidRPr="00D41749" w:rsidRDefault="00CD640E" w:rsidP="00A072E3">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41749">
              <w:rPr>
                <w:rFonts w:ascii="Arial" w:hAnsi="Arial"/>
                <w:color w:val="505150"/>
                <w:sz w:val="22"/>
                <w:szCs w:val="22"/>
              </w:rPr>
              <w:t>6.7</w:t>
            </w:r>
          </w:p>
        </w:tc>
      </w:tr>
      <w:tr w:rsidR="00CD640E" w:rsidRPr="00D068AB" w14:paraId="0D09A674" w14:textId="77777777" w:rsidTr="005C08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21F16658" w14:textId="77777777" w:rsidR="00CD640E" w:rsidRPr="00D068AB" w:rsidRDefault="00CD640E" w:rsidP="00321E10">
            <w:pPr>
              <w:spacing w:after="0"/>
            </w:pPr>
            <w:r w:rsidRPr="00321E10">
              <w:t>Total</w:t>
            </w:r>
          </w:p>
        </w:tc>
        <w:tc>
          <w:tcPr>
            <w:tcW w:w="1210" w:type="dxa"/>
            <w:tcBorders>
              <w:top w:val="single" w:sz="18" w:space="0" w:color="4F81BD" w:themeColor="accent1"/>
            </w:tcBorders>
          </w:tcPr>
          <w:p w14:paraId="452DE727" w14:textId="66B0C685" w:rsidR="00CD640E" w:rsidRPr="00D41749" w:rsidRDefault="00CD640E" w:rsidP="000E210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41749">
              <w:rPr>
                <w:rFonts w:ascii="Arial" w:hAnsi="Arial"/>
                <w:b/>
                <w:bCs/>
                <w:color w:val="505150"/>
                <w:sz w:val="22"/>
                <w:szCs w:val="22"/>
              </w:rPr>
              <w:t>100</w:t>
            </w:r>
          </w:p>
        </w:tc>
      </w:tr>
    </w:tbl>
    <w:p w14:paraId="1D31A48B" w14:textId="77777777" w:rsidR="0073463F" w:rsidRDefault="0073463F" w:rsidP="00AE63B1"/>
    <w:p w14:paraId="630F9C3C" w14:textId="77777777" w:rsidR="0073463F" w:rsidRDefault="0073463F" w:rsidP="0073463F">
      <w:pPr>
        <w:rPr>
          <w:rFonts w:eastAsia="MS PGothic"/>
        </w:rPr>
      </w:pPr>
      <w:r>
        <w:br w:type="page"/>
      </w:r>
    </w:p>
    <w:p w14:paraId="2953D707" w14:textId="77777777" w:rsidR="00960236" w:rsidRDefault="00960236" w:rsidP="00960236">
      <w:pPr>
        <w:pStyle w:val="Heading1"/>
      </w:pPr>
      <w:r w:rsidRPr="00CB61FE">
        <w:lastRenderedPageBreak/>
        <w:t>Examples of Eligible Projects</w:t>
      </w:r>
    </w:p>
    <w:p w14:paraId="0F346909" w14:textId="77777777" w:rsidR="0032464C" w:rsidRPr="00A072E3" w:rsidRDefault="0032464C" w:rsidP="00A072E3">
      <w:pPr>
        <w:pStyle w:val="ListBullet"/>
      </w:pPr>
      <w:r w:rsidRPr="00A072E3">
        <w:t>New or expanded transit service, including microtransit and fixed-route service</w:t>
      </w:r>
    </w:p>
    <w:p w14:paraId="19365D95" w14:textId="33D71B9A" w:rsidR="0032464C" w:rsidRPr="00A072E3" w:rsidRDefault="08F516A0" w:rsidP="00A072E3">
      <w:pPr>
        <w:pStyle w:val="ListBullet"/>
      </w:pPr>
      <w:r>
        <w:t>Expansion to existing transit centers or customer facilities that are associated with an expected service expansion (expanded transit centers or customer facilities not associated with an expected service expansion should apply in the Transit Customer Experience category)</w:t>
      </w:r>
    </w:p>
    <w:p w14:paraId="68AE4586" w14:textId="234175D4" w:rsidR="0032464C" w:rsidRPr="00A072E3" w:rsidRDefault="0032464C" w:rsidP="00A072E3">
      <w:pPr>
        <w:pStyle w:val="ListBullet"/>
      </w:pPr>
      <w:r>
        <w:t>New or expanded park-and-rides</w:t>
      </w:r>
      <w:r w:rsidR="23932F27">
        <w:t xml:space="preserve"> with a service expansion</w:t>
      </w:r>
    </w:p>
    <w:p w14:paraId="539121DC" w14:textId="77777777" w:rsidR="0032464C" w:rsidRPr="00A072E3" w:rsidRDefault="0032464C" w:rsidP="00A072E3">
      <w:pPr>
        <w:pStyle w:val="ListBullet"/>
      </w:pPr>
      <w:r w:rsidRPr="00A072E3">
        <w:t>New or expanded transitway facilities, including highway bus rapid transit (BRT), dedicated BRT, light rail transit, and modern streetcar (e.g., new lines, new stations, extended lines, expanded stations)</w:t>
      </w:r>
    </w:p>
    <w:p w14:paraId="5AFEA4C1" w14:textId="29EF4246" w:rsidR="00960236" w:rsidRDefault="00960236" w:rsidP="00A072E3">
      <w:pPr>
        <w:pStyle w:val="Heading1"/>
      </w:pPr>
      <w:bookmarkStart w:id="1" w:name="_Hlk211889958"/>
      <w:bookmarkEnd w:id="0"/>
      <w:r>
        <w:t>Application Criteria and Measures</w:t>
      </w:r>
    </w:p>
    <w:bookmarkEnd w:id="1"/>
    <w:p w14:paraId="3491FDE0" w14:textId="174F5F10" w:rsidR="007F31A6" w:rsidRPr="001450C8" w:rsidRDefault="006C41E2" w:rsidP="00B127AB">
      <w:pPr>
        <w:pStyle w:val="Heading2"/>
      </w:pPr>
      <w:r w:rsidRPr="001450C8">
        <w:t>Service</w:t>
      </w:r>
      <w:r w:rsidR="00920CEF">
        <w:t>/Facility</w:t>
      </w:r>
      <w:r w:rsidRPr="001450C8">
        <w:t xml:space="preserve"> </w:t>
      </w:r>
      <w:r w:rsidR="4AC4F7AC" w:rsidRPr="001450C8">
        <w:t>P</w:t>
      </w:r>
      <w:r w:rsidRPr="001450C8">
        <w:t xml:space="preserve">rovided </w:t>
      </w:r>
      <w:r w:rsidR="3D0A8097" w:rsidRPr="001450C8">
        <w:t>M</w:t>
      </w:r>
      <w:r w:rsidRPr="001450C8">
        <w:t xml:space="preserve">ust be </w:t>
      </w:r>
      <w:r w:rsidR="79C27D6B" w:rsidRPr="001450C8">
        <w:t>E</w:t>
      </w:r>
      <w:r w:rsidRPr="001450C8">
        <w:t xml:space="preserve">ffective for </w:t>
      </w:r>
      <w:r w:rsidR="6AFE78E9" w:rsidRPr="001450C8">
        <w:t>T</w:t>
      </w:r>
      <w:r w:rsidRPr="001450C8">
        <w:t xml:space="preserve">ransit </w:t>
      </w:r>
      <w:r w:rsidR="5FFD0F7D" w:rsidRPr="001450C8">
        <w:t>M</w:t>
      </w:r>
      <w:r w:rsidRPr="001450C8">
        <w:t xml:space="preserve">arket </w:t>
      </w:r>
      <w:r w:rsidR="627C4EEF" w:rsidRPr="001450C8">
        <w:t>A</w:t>
      </w:r>
      <w:r w:rsidRPr="001450C8">
        <w:t>rea</w:t>
      </w:r>
    </w:p>
    <w:p w14:paraId="184FEFCE" w14:textId="64CF70FD" w:rsidR="007F31A6" w:rsidRPr="00A339EC" w:rsidRDefault="00422A9A" w:rsidP="007F31A6">
      <w:r w:rsidRPr="00A339EC">
        <w:t xml:space="preserve">This criterion measures the </w:t>
      </w:r>
      <w:r w:rsidR="008C72ED" w:rsidRPr="00A339EC">
        <w:t xml:space="preserve">effectiveness of the project against </w:t>
      </w:r>
      <w:r w:rsidR="0023146A">
        <w:t>T</w:t>
      </w:r>
      <w:r w:rsidR="008C72ED" w:rsidRPr="00A339EC">
        <w:t xml:space="preserve">ransit </w:t>
      </w:r>
      <w:r w:rsidR="0023146A">
        <w:t>M</w:t>
      </w:r>
      <w:r w:rsidR="008C72ED" w:rsidRPr="00A339EC">
        <w:t xml:space="preserve">arket </w:t>
      </w:r>
      <w:r w:rsidR="0023146A">
        <w:t>A</w:t>
      </w:r>
      <w:r w:rsidR="008C72ED" w:rsidRPr="00A339EC">
        <w:t>rea and performance guidelines (e.g., productivity, cost effectiveness)</w:t>
      </w:r>
      <w:r w:rsidR="007B73E4" w:rsidRPr="00A339EC">
        <w:t>.</w:t>
      </w:r>
    </w:p>
    <w:p w14:paraId="101BD78D" w14:textId="35F03B05" w:rsidR="00F30A74" w:rsidRPr="00371F03" w:rsidRDefault="00F30A74" w:rsidP="5A85A642">
      <w:pPr>
        <w:pStyle w:val="Heading3"/>
      </w:pPr>
      <w:r>
        <w:t xml:space="preserve">Transit Market Area </w:t>
      </w:r>
      <w:r w:rsidR="00920CEF">
        <w:t>Alignment</w:t>
      </w:r>
    </w:p>
    <w:p w14:paraId="3C375819" w14:textId="559195D6" w:rsidR="003F7E0A" w:rsidRPr="00C95262" w:rsidRDefault="623C99DD" w:rsidP="003F7E0A">
      <w:r>
        <w:t xml:space="preserve">Refer to the </w:t>
      </w:r>
      <w:hyperlink r:id="rId12" w:history="1">
        <w:r w:rsidRPr="00D41749">
          <w:rPr>
            <w:rStyle w:val="Hyperlink"/>
          </w:rPr>
          <w:t>2050 Transportation Policy Plan Transit Market Area map</w:t>
        </w:r>
      </w:hyperlink>
      <w:r>
        <w:t xml:space="preserve"> and select which transit market area(s) the project serves:</w:t>
      </w:r>
    </w:p>
    <w:p w14:paraId="28607BCD" w14:textId="68B5A638" w:rsidR="00036E41" w:rsidRPr="0038783C" w:rsidRDefault="00000000" w:rsidP="00504782">
      <w:pPr>
        <w:ind w:left="720" w:hanging="360"/>
        <w:rPr>
          <w:rFonts w:eastAsia="Arial" w:cs="Arial"/>
        </w:rPr>
      </w:pPr>
      <w:sdt>
        <w:sdtPr>
          <w:rPr>
            <w:rFonts w:eastAsia="Arial" w:cs="Arial"/>
          </w:rPr>
          <w:id w:val="-672185118"/>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534F2C">
        <w:rPr>
          <w:rFonts w:eastAsia="Arial" w:cs="Arial"/>
        </w:rPr>
        <w:t xml:space="preserve">Existing or emerging </w:t>
      </w:r>
      <w:r w:rsidR="00036E41" w:rsidRPr="0038783C">
        <w:rPr>
          <w:rFonts w:eastAsia="Arial" w:cs="Arial"/>
        </w:rPr>
        <w:t>Transit Market Area I: Most dense urban centers and corridor</w:t>
      </w:r>
    </w:p>
    <w:p w14:paraId="416A70E8" w14:textId="1E174778" w:rsidR="00036E41" w:rsidRPr="0038783C" w:rsidRDefault="00000000" w:rsidP="00504782">
      <w:pPr>
        <w:ind w:left="720" w:hanging="360"/>
        <w:rPr>
          <w:rFonts w:eastAsia="Arial" w:cs="Arial"/>
        </w:rPr>
      </w:pPr>
      <w:sdt>
        <w:sdtPr>
          <w:rPr>
            <w:rFonts w:eastAsia="Arial" w:cs="Arial"/>
          </w:rPr>
          <w:id w:val="675466209"/>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534F2C">
        <w:rPr>
          <w:rFonts w:eastAsia="Arial" w:cs="Arial"/>
        </w:rPr>
        <w:t xml:space="preserve">Existing or emerging </w:t>
      </w:r>
      <w:r w:rsidR="00036E41" w:rsidRPr="0038783C">
        <w:rPr>
          <w:rFonts w:eastAsia="Arial" w:cs="Arial"/>
        </w:rPr>
        <w:t>Transit Market Area II: Less dense urban neighborhoods and activity centers</w:t>
      </w:r>
    </w:p>
    <w:p w14:paraId="09519D9F" w14:textId="6A88FEE0" w:rsidR="00036E41" w:rsidRPr="0038783C" w:rsidRDefault="00000000" w:rsidP="00504782">
      <w:pPr>
        <w:ind w:left="720" w:hanging="360"/>
        <w:rPr>
          <w:rFonts w:eastAsia="Arial" w:cs="Arial"/>
        </w:rPr>
      </w:pPr>
      <w:sdt>
        <w:sdtPr>
          <w:rPr>
            <w:rFonts w:eastAsia="Arial" w:cs="Arial"/>
          </w:rPr>
          <w:id w:val="-1854414869"/>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534F2C">
        <w:rPr>
          <w:rFonts w:eastAsia="Arial" w:cs="Arial"/>
        </w:rPr>
        <w:t xml:space="preserve">Existing or emerging </w:t>
      </w:r>
      <w:r w:rsidR="00036E41" w:rsidRPr="0038783C">
        <w:rPr>
          <w:rFonts w:eastAsia="Arial" w:cs="Arial"/>
        </w:rPr>
        <w:t>Transit Market Area III: Suburban but still dense enough to support regular-route service</w:t>
      </w:r>
    </w:p>
    <w:p w14:paraId="2C3C97CC" w14:textId="7415934D" w:rsidR="00036E41" w:rsidRPr="0038783C" w:rsidRDefault="00000000" w:rsidP="00504782">
      <w:pPr>
        <w:ind w:left="720" w:hanging="360"/>
        <w:rPr>
          <w:rFonts w:eastAsia="Arial" w:cs="Arial"/>
        </w:rPr>
      </w:pPr>
      <w:sdt>
        <w:sdtPr>
          <w:rPr>
            <w:rFonts w:eastAsia="Arial" w:cs="Arial"/>
          </w:rPr>
          <w:id w:val="-729695093"/>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534F2C">
        <w:rPr>
          <w:rFonts w:eastAsia="Arial" w:cs="Arial"/>
        </w:rPr>
        <w:t xml:space="preserve">Existing or emerging </w:t>
      </w:r>
      <w:r w:rsidR="00036E41" w:rsidRPr="0038783C">
        <w:rPr>
          <w:rFonts w:eastAsia="Arial" w:cs="Arial"/>
        </w:rPr>
        <w:t>Transit Market Area IV: Low density suburban edge areas</w:t>
      </w:r>
    </w:p>
    <w:p w14:paraId="61494701" w14:textId="6D3039D8" w:rsidR="00F30A74" w:rsidRPr="0038783C" w:rsidRDefault="00000000" w:rsidP="00504782">
      <w:pPr>
        <w:ind w:left="720" w:hanging="360"/>
        <w:rPr>
          <w:rFonts w:eastAsia="Arial" w:cs="Arial"/>
        </w:rPr>
      </w:pPr>
      <w:sdt>
        <w:sdtPr>
          <w:rPr>
            <w:rFonts w:eastAsia="Arial" w:cs="Arial"/>
          </w:rPr>
          <w:id w:val="-896508683"/>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534F2C">
        <w:rPr>
          <w:rFonts w:eastAsia="Arial" w:cs="Arial"/>
        </w:rPr>
        <w:t xml:space="preserve">Existing or emerging </w:t>
      </w:r>
      <w:r w:rsidR="00036E41" w:rsidRPr="0038783C">
        <w:rPr>
          <w:rFonts w:eastAsia="Arial" w:cs="Arial"/>
        </w:rPr>
        <w:t xml:space="preserve">Transit Market Area V: </w:t>
      </w:r>
      <w:r w:rsidR="00F30A74" w:rsidRPr="0038783C">
        <w:rPr>
          <w:rFonts w:eastAsia="Arial" w:cs="Arial"/>
        </w:rPr>
        <w:t>Rural with some small communities</w:t>
      </w:r>
    </w:p>
    <w:p w14:paraId="1C3FAAC2" w14:textId="1D7CD469" w:rsidR="00F30A74" w:rsidRPr="0038783C" w:rsidRDefault="00000000" w:rsidP="00504782">
      <w:pPr>
        <w:ind w:left="720" w:hanging="360"/>
        <w:rPr>
          <w:rFonts w:eastAsia="Arial" w:cs="Arial"/>
        </w:rPr>
      </w:pPr>
      <w:sdt>
        <w:sdtPr>
          <w:rPr>
            <w:rFonts w:eastAsia="Arial" w:cs="Arial"/>
          </w:rPr>
          <w:id w:val="905652973"/>
          <w14:checkbox>
            <w14:checked w14:val="0"/>
            <w14:checkedState w14:val="2612" w14:font="MS Gothic"/>
            <w14:uncheckedState w14:val="2610" w14:font="MS Gothic"/>
          </w14:checkbox>
        </w:sdtPr>
        <w:sdtContent>
          <w:r w:rsidR="00033BBA" w:rsidRPr="0038783C">
            <w:rPr>
              <w:rFonts w:ascii="Segoe UI Symbol" w:eastAsia="Arial" w:hAnsi="Segoe UI Symbol" w:cs="Segoe UI Symbol"/>
            </w:rPr>
            <w:t>☐</w:t>
          </w:r>
        </w:sdtContent>
      </w:sdt>
      <w:r w:rsidR="00033BBA" w:rsidRPr="0038783C">
        <w:rPr>
          <w:rFonts w:eastAsia="Arial" w:cs="Arial"/>
        </w:rPr>
        <w:tab/>
      </w:r>
      <w:r w:rsidR="00F30A74" w:rsidRPr="0038783C">
        <w:rPr>
          <w:rFonts w:eastAsia="Arial" w:cs="Arial"/>
        </w:rPr>
        <w:t>Freestanding Town Center</w:t>
      </w:r>
    </w:p>
    <w:p w14:paraId="5A39E233" w14:textId="33D9C621" w:rsidR="004B4B26" w:rsidRDefault="172FED02" w:rsidP="00F30A74">
      <w:r>
        <w:t xml:space="preserve">Based on the guidance provided in the 2050 Transportation Policy Plan </w:t>
      </w:r>
      <w:r w:rsidR="006A350E">
        <w:t xml:space="preserve">Regional </w:t>
      </w:r>
      <w:r w:rsidR="004B44C5">
        <w:t xml:space="preserve">Transit Design and Performance Guidelines </w:t>
      </w:r>
      <w:r>
        <w:t>provide a brief narrative (</w:t>
      </w:r>
      <w:r w:rsidR="004B4B26">
        <w:t>4</w:t>
      </w:r>
      <w:r w:rsidR="007627D2">
        <w:t xml:space="preserve">00 </w:t>
      </w:r>
      <w:r>
        <w:t>words</w:t>
      </w:r>
      <w:r w:rsidR="00815201">
        <w:t xml:space="preserve"> or less</w:t>
      </w:r>
      <w:r>
        <w:t>) explaining how the project aligns with the typical service expected and</w:t>
      </w:r>
      <w:r w:rsidR="0039458A">
        <w:t>/or</w:t>
      </w:r>
      <w:r>
        <w:t xml:space="preserve"> transit design guidelines for the</w:t>
      </w:r>
      <w:r w:rsidR="00B2178D">
        <w:t xml:space="preserve"> project’s</w:t>
      </w:r>
      <w:r>
        <w:t xml:space="preserve"> </w:t>
      </w:r>
      <w:r w:rsidR="005423E1">
        <w:t>service type and Transit Market Area context</w:t>
      </w:r>
      <w:r>
        <w:t>. If the project deviates from the typical service expected and</w:t>
      </w:r>
      <w:r w:rsidR="00DB42A9">
        <w:t>/or</w:t>
      </w:r>
      <w:r>
        <w:t xml:space="preserve"> transit design guidelines, explain why.</w:t>
      </w:r>
    </w:p>
    <w:p w14:paraId="00CE3AA9" w14:textId="222CB8FD" w:rsidR="00F30A74" w:rsidRDefault="009259FD" w:rsidP="00A072E3">
      <w:pPr>
        <w:spacing w:line="259" w:lineRule="auto"/>
      </w:pPr>
      <w:r>
        <w:t>Refer</w:t>
      </w:r>
      <w:r w:rsidR="00F0683C">
        <w:t xml:space="preserve"> to </w:t>
      </w:r>
      <w:r w:rsidR="00F0683C" w:rsidRPr="3B87B636">
        <w:rPr>
          <w:i/>
          <w:iCs/>
        </w:rPr>
        <w:t>Table 9.3: Typical service and key planning factors by Transit Market Area</w:t>
      </w:r>
      <w:r w:rsidR="00C40B77">
        <w:t xml:space="preserve"> to </w:t>
      </w:r>
      <w:r w:rsidR="001F7E2B">
        <w:t>assess alignment with t</w:t>
      </w:r>
      <w:r w:rsidR="00627E13">
        <w:t>he typical service expected.</w:t>
      </w:r>
      <w:r w:rsidR="00785F0F">
        <w:t xml:space="preserve"> Also assess how the project aligns with </w:t>
      </w:r>
      <w:r w:rsidR="00C92A6C">
        <w:t xml:space="preserve">the </w:t>
      </w:r>
      <w:r w:rsidR="03D3FBB6">
        <w:t xml:space="preserve">Transit </w:t>
      </w:r>
      <w:r w:rsidR="2E6AD699">
        <w:t>D</w:t>
      </w:r>
      <w:r w:rsidR="00D85601">
        <w:t>esign</w:t>
      </w:r>
      <w:r w:rsidR="00C92A6C">
        <w:t xml:space="preserve"> </w:t>
      </w:r>
      <w:r w:rsidR="1BC552AA">
        <w:t>G</w:t>
      </w:r>
      <w:r w:rsidR="00C92A6C">
        <w:t>uidelines</w:t>
      </w:r>
      <w:r w:rsidR="35837EDB">
        <w:t xml:space="preserve"> section</w:t>
      </w:r>
      <w:r w:rsidR="00C92A6C">
        <w:t xml:space="preserve">, </w:t>
      </w:r>
      <w:r w:rsidR="00785F0F">
        <w:t xml:space="preserve">with particular emphasis on stop spacing, route spacing, </w:t>
      </w:r>
      <w:r w:rsidR="00874482">
        <w:t xml:space="preserve">facility design, </w:t>
      </w:r>
      <w:r w:rsidR="00785F0F">
        <w:t>service span, frequency, and coverage service</w:t>
      </w:r>
      <w:r w:rsidR="71D9D481">
        <w:t>, as applicable to the project</w:t>
      </w:r>
      <w:r w:rsidR="00785F0F">
        <w:t>.</w:t>
      </w:r>
    </w:p>
    <w:p w14:paraId="4715C4FC" w14:textId="2273351C" w:rsidR="00F30A74" w:rsidRDefault="172FED02" w:rsidP="3B87B636">
      <w:r>
        <w:t xml:space="preserve">If the project expands an existing route, consider the expanded service in total, not just the added </w:t>
      </w:r>
      <w:r w:rsidR="004B44C5">
        <w:t xml:space="preserve">portion of </w:t>
      </w:r>
      <w:r>
        <w:t xml:space="preserve">service, when answering this question. If the route is intended to be a coverage route, please explain how it meets the criteria outlined in the </w:t>
      </w:r>
      <w:r w:rsidR="085FDFCA">
        <w:t>Regional Transit Design and Performance Guidelines</w:t>
      </w:r>
      <w:r>
        <w:t xml:space="preserve"> for such routes.</w:t>
      </w:r>
    </w:p>
    <w:p w14:paraId="51068106" w14:textId="77777777" w:rsidR="0038783C" w:rsidRDefault="0038783C" w:rsidP="00153CDB">
      <w:pPr>
        <w:pStyle w:val="Heading4"/>
      </w:pPr>
      <w:r w:rsidRPr="00450499">
        <w:lastRenderedPageBreak/>
        <w:t>Scoring Guidance</w:t>
      </w:r>
    </w:p>
    <w:p w14:paraId="369D0DBC" w14:textId="07E624A1" w:rsidR="00127277" w:rsidRDefault="006D769C" w:rsidP="00127277">
      <w:r w:rsidRPr="006D769C">
        <w:t xml:space="preserve">Consider the information and narrative provided by the applicant and rate projects based on </w:t>
      </w:r>
      <w:r>
        <w:t xml:space="preserve">their alignment with the </w:t>
      </w:r>
      <w:r w:rsidR="00127277">
        <w:t xml:space="preserve">Regional Transit Design and Performance Guidelines. </w:t>
      </w:r>
      <w:r w:rsidR="002051A6">
        <w:t xml:space="preserve">For new facility or expanded facility projects, </w:t>
      </w:r>
      <w:r w:rsidR="007619D0">
        <w:t xml:space="preserve">assess how the project supports the appropriate service type </w:t>
      </w:r>
      <w:r w:rsidR="00933D06">
        <w:t>within</w:t>
      </w:r>
      <w:r w:rsidR="007619D0">
        <w:t xml:space="preserve"> the market area, as well as how </w:t>
      </w:r>
      <w:r w:rsidR="00933D06">
        <w:t xml:space="preserve">the project aligns with design guidelines related to stop spacing, customer facility features, and other aspects. </w:t>
      </w:r>
    </w:p>
    <w:p w14:paraId="095C3922" w14:textId="530DD26E" w:rsidR="00874482" w:rsidRDefault="00874482" w:rsidP="00A072E3">
      <w:pPr>
        <w:spacing w:line="259" w:lineRule="auto"/>
      </w:pPr>
      <w:r>
        <w:t>A project that aligns with all guidelines relevant for the project type should receive full points. A project that does not fully align with the relevant guidelines may receive partial points based on the scale of deviation and the applicant’s justification for deviations from the guidelines. As you assess the project, consider the proposed service type, proposed facility type, how much of the service is in each Transit Market Area (if multiple), and other relevant considerations highlighted by the applicant.</w:t>
      </w:r>
    </w:p>
    <w:p w14:paraId="5033963C" w14:textId="52EB1F93" w:rsidR="006D769C" w:rsidRPr="00A072E3" w:rsidRDefault="006D769C" w:rsidP="00A072E3">
      <w:pPr>
        <w:pStyle w:val="ListBullet"/>
      </w:pPr>
      <w:r w:rsidRPr="00A072E3">
        <w:rPr>
          <w:b/>
          <w:bCs/>
        </w:rPr>
        <w:t>High:</w:t>
      </w:r>
      <w:r w:rsidRPr="00A072E3">
        <w:t xml:space="preserve"> The highest rated projects in this measure </w:t>
      </w:r>
      <w:r w:rsidR="009C780B" w:rsidRPr="00A072E3">
        <w:t xml:space="preserve">align with all regional Transit Market Area and Transit Design guidance, including route type, frequency, </w:t>
      </w:r>
      <w:r w:rsidR="006A2993" w:rsidRPr="00A072E3">
        <w:t>facility type, and transitway type as applicable.</w:t>
      </w:r>
    </w:p>
    <w:p w14:paraId="66176837" w14:textId="77777777" w:rsidR="006D769C" w:rsidRPr="00A072E3" w:rsidRDefault="006D769C" w:rsidP="00A072E3">
      <w:pPr>
        <w:pStyle w:val="ListBullet"/>
        <w:rPr>
          <w:b/>
          <w:bCs/>
        </w:rPr>
      </w:pPr>
      <w:r w:rsidRPr="00A072E3">
        <w:rPr>
          <w:b/>
          <w:bCs/>
        </w:rPr>
        <w:t>Medium-High </w:t>
      </w:r>
    </w:p>
    <w:p w14:paraId="2B05FFD1" w14:textId="57F513C4" w:rsidR="006D769C" w:rsidRPr="00A072E3" w:rsidRDefault="006D769C" w:rsidP="00A072E3">
      <w:pPr>
        <w:pStyle w:val="ListBullet"/>
      </w:pPr>
      <w:r w:rsidRPr="00A072E3">
        <w:rPr>
          <w:b/>
          <w:bCs/>
        </w:rPr>
        <w:t>Medium:</w:t>
      </w:r>
      <w:r w:rsidRPr="00A072E3">
        <w:t xml:space="preserve"> Mid-range projects in this measure</w:t>
      </w:r>
      <w:r w:rsidR="006A2993" w:rsidRPr="00A072E3">
        <w:t xml:space="preserve"> are mostly consistent with regional </w:t>
      </w:r>
      <w:proofErr w:type="gramStart"/>
      <w:r w:rsidR="006A2993" w:rsidRPr="00A072E3">
        <w:t>guidance, or</w:t>
      </w:r>
      <w:proofErr w:type="gramEnd"/>
      <w:r w:rsidR="006A2993" w:rsidRPr="00A072E3">
        <w:t xml:space="preserve"> are consistent for </w:t>
      </w:r>
      <w:r w:rsidR="00045716" w:rsidRPr="00A072E3">
        <w:t xml:space="preserve">most of the </w:t>
      </w:r>
      <w:proofErr w:type="gramStart"/>
      <w:r w:rsidR="00045716" w:rsidRPr="00A072E3">
        <w:t>alignment</w:t>
      </w:r>
      <w:proofErr w:type="gramEnd"/>
      <w:r w:rsidR="00045716" w:rsidRPr="00A072E3">
        <w:t xml:space="preserve"> served. There may be some inconsistencies</w:t>
      </w:r>
      <w:r w:rsidR="1BFC89D0" w:rsidRPr="00A072E3">
        <w:t>, more points should be awarded if there is a strong justification provided for inconsisten</w:t>
      </w:r>
      <w:r w:rsidR="0978905F" w:rsidRPr="00A072E3">
        <w:t xml:space="preserve">cies; fewer points should be awarded if a weak or no justification for </w:t>
      </w:r>
      <w:r w:rsidR="132D6D54" w:rsidRPr="00A072E3">
        <w:t>inconsistencies</w:t>
      </w:r>
      <w:r w:rsidR="0978905F" w:rsidRPr="00A072E3">
        <w:t xml:space="preserve"> is provided.</w:t>
      </w:r>
    </w:p>
    <w:p w14:paraId="2033B5BE" w14:textId="77777777" w:rsidR="006D769C" w:rsidRPr="00A072E3" w:rsidRDefault="006D769C" w:rsidP="00A072E3">
      <w:pPr>
        <w:pStyle w:val="ListBullet"/>
        <w:rPr>
          <w:b/>
          <w:bCs/>
        </w:rPr>
      </w:pPr>
      <w:r w:rsidRPr="00A072E3">
        <w:rPr>
          <w:b/>
          <w:bCs/>
        </w:rPr>
        <w:t>Medium-Low </w:t>
      </w:r>
    </w:p>
    <w:p w14:paraId="7ACFF211" w14:textId="0F2B013A" w:rsidR="006D769C" w:rsidRPr="00A072E3" w:rsidRDefault="006D769C" w:rsidP="00A072E3">
      <w:pPr>
        <w:pStyle w:val="ListBullet"/>
      </w:pPr>
      <w:r w:rsidRPr="00A072E3">
        <w:rPr>
          <w:b/>
          <w:bCs/>
        </w:rPr>
        <w:t>Low:</w:t>
      </w:r>
      <w:r w:rsidRPr="00A072E3">
        <w:t xml:space="preserve"> Low rated projects in this measure</w:t>
      </w:r>
      <w:r w:rsidR="00045716" w:rsidRPr="00A072E3">
        <w:t xml:space="preserve"> are only partly consistent with regional </w:t>
      </w:r>
      <w:proofErr w:type="gramStart"/>
      <w:r w:rsidR="00045716" w:rsidRPr="00A072E3">
        <w:t>guidance, or</w:t>
      </w:r>
      <w:proofErr w:type="gramEnd"/>
      <w:r w:rsidR="00045716" w:rsidRPr="00A072E3">
        <w:t xml:space="preserve"> are consistent for only part of the alignment. </w:t>
      </w:r>
      <w:r w:rsidR="00874482" w:rsidRPr="00A072E3">
        <w:t xml:space="preserve">For facility projects, the proposed location may conflict with regional guidance. </w:t>
      </w:r>
    </w:p>
    <w:p w14:paraId="095B6118" w14:textId="3358E915" w:rsidR="006D769C" w:rsidRPr="00A072E3" w:rsidRDefault="006D769C" w:rsidP="00A072E3">
      <w:pPr>
        <w:pStyle w:val="ListBullet"/>
      </w:pPr>
      <w:r w:rsidRPr="00A072E3">
        <w:rPr>
          <w:b/>
          <w:bCs/>
        </w:rPr>
        <w:t>Non-responsive/Not relevant:</w:t>
      </w:r>
      <w:r w:rsidRPr="00A072E3">
        <w:t xml:space="preserve"> Projects that </w:t>
      </w:r>
      <w:r w:rsidR="0032464C" w:rsidRPr="00A072E3">
        <w:t>do not align with regional guidance</w:t>
      </w:r>
      <w:r w:rsidRPr="00A072E3">
        <w:t xml:space="preserve"> should receive zero points in this measure. Projects that do not provide a complete response should also receive zero points. </w:t>
      </w:r>
    </w:p>
    <w:p w14:paraId="6492F1AF" w14:textId="1B46AE16" w:rsidR="00F30A74" w:rsidRPr="00A072E3" w:rsidRDefault="001F02F7" w:rsidP="00DB6316">
      <w:pPr>
        <w:pStyle w:val="Heading3"/>
        <w:numPr>
          <w:ilvl w:val="0"/>
          <w:numId w:val="0"/>
        </w:numPr>
      </w:pPr>
      <w:r w:rsidRPr="00A072E3">
        <w:t xml:space="preserve">B. </w:t>
      </w:r>
      <w:r w:rsidR="2024B5BF" w:rsidRPr="00A072E3">
        <w:t>R</w:t>
      </w:r>
      <w:r w:rsidR="00F30A74" w:rsidRPr="00A072E3">
        <w:t xml:space="preserve">egional </w:t>
      </w:r>
      <w:r w:rsidR="42C2CEE4" w:rsidRPr="00A072E3">
        <w:t>T</w:t>
      </w:r>
      <w:r w:rsidR="00F30A74" w:rsidRPr="00A072E3">
        <w:t xml:space="preserve">ransit </w:t>
      </w:r>
      <w:r w:rsidR="538C7E53" w:rsidRPr="00A072E3">
        <w:t>P</w:t>
      </w:r>
      <w:r w:rsidR="00F30A74" w:rsidRPr="00A072E3">
        <w:t xml:space="preserve">erformance </w:t>
      </w:r>
      <w:r w:rsidR="738BFFD0" w:rsidRPr="00A072E3">
        <w:t>G</w:t>
      </w:r>
      <w:r w:rsidR="00F30A74" w:rsidRPr="00A072E3">
        <w:t>uidelines</w:t>
      </w:r>
    </w:p>
    <w:p w14:paraId="716944AA" w14:textId="1654A439" w:rsidR="00F30A74" w:rsidRPr="005F339C" w:rsidRDefault="00BD3AB0" w:rsidP="00F30A74">
      <w:r w:rsidRPr="00A072E3">
        <w:t xml:space="preserve">Refer to the </w:t>
      </w:r>
      <w:r w:rsidR="004B0609" w:rsidRPr="00A072E3">
        <w:t>2050 Transportation Policy Plan</w:t>
      </w:r>
      <w:r w:rsidRPr="00A072E3">
        <w:t xml:space="preserve"> </w:t>
      </w:r>
      <w:r w:rsidR="00E1463E" w:rsidRPr="00A072E3">
        <w:t xml:space="preserve">Regional </w:t>
      </w:r>
      <w:r w:rsidR="00515D01" w:rsidRPr="00A072E3">
        <w:t>Transit Design and Performance Guidelines and s</w:t>
      </w:r>
      <w:r w:rsidR="00F30A74" w:rsidRPr="00A072E3">
        <w:t>elect which route type applies to the project</w:t>
      </w:r>
      <w:r w:rsidR="00F07B22" w:rsidRPr="00A072E3">
        <w:t xml:space="preserve"> from the list below. For facility</w:t>
      </w:r>
      <w:r w:rsidR="00874482" w:rsidRPr="00A072E3">
        <w:t>-only</w:t>
      </w:r>
      <w:r w:rsidR="00F07B22" w:rsidRPr="00A072E3">
        <w:t xml:space="preserve"> projects, select the type of service the facility serves.</w:t>
      </w:r>
    </w:p>
    <w:p w14:paraId="427C234D" w14:textId="54992C30" w:rsidR="00F30A74" w:rsidRPr="005F339C" w:rsidRDefault="00000000" w:rsidP="00504782">
      <w:pPr>
        <w:ind w:left="720" w:hanging="360"/>
        <w:rPr>
          <w:rFonts w:eastAsia="Arial" w:cs="Arial"/>
        </w:rPr>
      </w:pPr>
      <w:sdt>
        <w:sdtPr>
          <w:rPr>
            <w:rFonts w:eastAsia="Arial" w:cs="Arial"/>
          </w:rPr>
          <w:id w:val="-1895875819"/>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30A74" w:rsidRPr="005F339C">
        <w:rPr>
          <w:rFonts w:eastAsia="Arial" w:cs="Arial"/>
        </w:rPr>
        <w:t>Core local bus</w:t>
      </w:r>
    </w:p>
    <w:p w14:paraId="4870BA50" w14:textId="2C942413" w:rsidR="00F30A74" w:rsidRPr="005F339C" w:rsidRDefault="00000000" w:rsidP="00504782">
      <w:pPr>
        <w:ind w:left="720" w:hanging="360"/>
        <w:rPr>
          <w:rFonts w:eastAsia="Arial" w:cs="Arial"/>
        </w:rPr>
      </w:pPr>
      <w:sdt>
        <w:sdtPr>
          <w:rPr>
            <w:rFonts w:eastAsia="Arial" w:cs="Arial"/>
          </w:rPr>
          <w:id w:val="-2022851015"/>
          <w14:checkbox>
            <w14:checked w14:val="0"/>
            <w14:checkedState w14:val="2612" w14:font="MS Gothic"/>
            <w14:uncheckedState w14:val="2610" w14:font="MS Gothic"/>
          </w14:checkbox>
        </w:sdtPr>
        <w:sdtContent>
          <w:r w:rsidR="00241042">
            <w:rPr>
              <w:rFonts w:ascii="MS Gothic" w:eastAsia="MS Gothic" w:hAnsi="MS Gothic" w:cs="Arial" w:hint="eastAsia"/>
            </w:rPr>
            <w:t>☐</w:t>
          </w:r>
        </w:sdtContent>
      </w:sdt>
      <w:r w:rsidR="008068C1" w:rsidRPr="005F339C">
        <w:rPr>
          <w:rFonts w:eastAsia="Arial" w:cs="Arial"/>
        </w:rPr>
        <w:tab/>
      </w:r>
      <w:r w:rsidR="00F30A74" w:rsidRPr="005F339C">
        <w:rPr>
          <w:rFonts w:eastAsia="Arial" w:cs="Arial"/>
        </w:rPr>
        <w:t>Supporting local bus</w:t>
      </w:r>
    </w:p>
    <w:p w14:paraId="002FFC45" w14:textId="1A518063" w:rsidR="00F30A74" w:rsidRPr="005F339C" w:rsidRDefault="00000000" w:rsidP="00504782">
      <w:pPr>
        <w:ind w:left="720" w:hanging="360"/>
        <w:rPr>
          <w:rFonts w:eastAsia="Arial" w:cs="Arial"/>
        </w:rPr>
      </w:pPr>
      <w:sdt>
        <w:sdtPr>
          <w:rPr>
            <w:rFonts w:eastAsia="Arial" w:cs="Arial"/>
          </w:rPr>
          <w:id w:val="-17161673"/>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30A74" w:rsidRPr="005F339C">
        <w:rPr>
          <w:rFonts w:eastAsia="Arial" w:cs="Arial"/>
        </w:rPr>
        <w:t>Suburban local bus</w:t>
      </w:r>
    </w:p>
    <w:p w14:paraId="6B06D6CD" w14:textId="3CA42073" w:rsidR="00F30A74" w:rsidRDefault="00000000" w:rsidP="00504782">
      <w:pPr>
        <w:ind w:left="720" w:hanging="360"/>
        <w:rPr>
          <w:rFonts w:eastAsia="Arial" w:cs="Arial"/>
        </w:rPr>
      </w:pPr>
      <w:sdt>
        <w:sdtPr>
          <w:rPr>
            <w:rFonts w:eastAsia="Arial" w:cs="Arial"/>
          </w:rPr>
          <w:id w:val="-93090667"/>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30A74" w:rsidRPr="005F339C">
        <w:rPr>
          <w:rFonts w:eastAsia="Arial" w:cs="Arial"/>
        </w:rPr>
        <w:t>Commuter and express bus</w:t>
      </w:r>
    </w:p>
    <w:p w14:paraId="3DB6FDE2" w14:textId="1C317F45" w:rsidR="00534F2C" w:rsidRPr="005F339C" w:rsidRDefault="00000000" w:rsidP="00504782">
      <w:pPr>
        <w:ind w:left="720" w:hanging="360"/>
        <w:rPr>
          <w:rFonts w:eastAsia="Arial" w:cs="Arial"/>
        </w:rPr>
      </w:pPr>
      <w:sdt>
        <w:sdtPr>
          <w:rPr>
            <w:rFonts w:eastAsia="Arial" w:cs="Arial"/>
          </w:rPr>
          <w:id w:val="2049414834"/>
          <w14:checkbox>
            <w14:checked w14:val="0"/>
            <w14:checkedState w14:val="2612" w14:font="MS Gothic"/>
            <w14:uncheckedState w14:val="2610" w14:font="MS Gothic"/>
          </w14:checkbox>
        </w:sdtPr>
        <w:sdtContent>
          <w:r w:rsidR="00534F2C" w:rsidRPr="005F339C">
            <w:rPr>
              <w:rFonts w:ascii="Segoe UI Symbol" w:eastAsia="Arial" w:hAnsi="Segoe UI Symbol" w:cs="Segoe UI Symbol"/>
            </w:rPr>
            <w:t>☐</w:t>
          </w:r>
        </w:sdtContent>
      </w:sdt>
      <w:r w:rsidR="00534F2C" w:rsidRPr="005F339C">
        <w:rPr>
          <w:rFonts w:eastAsia="Arial" w:cs="Arial"/>
        </w:rPr>
        <w:tab/>
      </w:r>
      <w:r w:rsidR="00534F2C">
        <w:rPr>
          <w:rFonts w:eastAsia="Arial" w:cs="Arial"/>
        </w:rPr>
        <w:t>Microtransit</w:t>
      </w:r>
    </w:p>
    <w:p w14:paraId="14192965" w14:textId="5044DF61" w:rsidR="00F81418" w:rsidRPr="005F339C" w:rsidRDefault="00000000" w:rsidP="00504782">
      <w:pPr>
        <w:ind w:left="720" w:hanging="360"/>
        <w:rPr>
          <w:rFonts w:eastAsia="Arial" w:cs="Arial"/>
        </w:rPr>
      </w:pPr>
      <w:sdt>
        <w:sdtPr>
          <w:rPr>
            <w:rFonts w:eastAsia="Arial" w:cs="Arial"/>
          </w:rPr>
          <w:id w:val="-290516950"/>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81418" w:rsidRPr="005F339C">
        <w:rPr>
          <w:rFonts w:eastAsia="Arial" w:cs="Arial"/>
        </w:rPr>
        <w:t>General public dial-a-ride</w:t>
      </w:r>
    </w:p>
    <w:p w14:paraId="1EA60886" w14:textId="76034AC3" w:rsidR="00F81418" w:rsidRPr="005F339C" w:rsidRDefault="00000000" w:rsidP="00504782">
      <w:pPr>
        <w:ind w:left="720" w:hanging="360"/>
        <w:rPr>
          <w:rFonts w:eastAsia="Arial" w:cs="Arial"/>
        </w:rPr>
      </w:pPr>
      <w:sdt>
        <w:sdtPr>
          <w:rPr>
            <w:rFonts w:eastAsia="Arial" w:cs="Arial"/>
          </w:rPr>
          <w:id w:val="1879272314"/>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81418" w:rsidRPr="005F339C">
        <w:rPr>
          <w:rFonts w:eastAsia="Arial" w:cs="Arial"/>
        </w:rPr>
        <w:t>Light rail</w:t>
      </w:r>
    </w:p>
    <w:p w14:paraId="1894996C" w14:textId="4B813CAE" w:rsidR="00F81418" w:rsidRPr="005F339C" w:rsidRDefault="00000000" w:rsidP="00504782">
      <w:pPr>
        <w:ind w:left="720" w:hanging="360"/>
        <w:rPr>
          <w:rFonts w:eastAsia="Arial" w:cs="Arial"/>
        </w:rPr>
      </w:pPr>
      <w:sdt>
        <w:sdtPr>
          <w:rPr>
            <w:rFonts w:eastAsia="Arial" w:cs="Arial"/>
          </w:rPr>
          <w:id w:val="1695799309"/>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81418" w:rsidRPr="005F339C">
        <w:rPr>
          <w:rFonts w:eastAsia="Arial" w:cs="Arial"/>
        </w:rPr>
        <w:t>Arterial BRT</w:t>
      </w:r>
    </w:p>
    <w:p w14:paraId="2FE18C98" w14:textId="1A15E115" w:rsidR="00F81418" w:rsidRDefault="00000000" w:rsidP="00504782">
      <w:pPr>
        <w:ind w:left="720" w:hanging="360"/>
        <w:rPr>
          <w:rFonts w:eastAsia="Arial" w:cs="Arial"/>
        </w:rPr>
      </w:pPr>
      <w:sdt>
        <w:sdtPr>
          <w:rPr>
            <w:rFonts w:eastAsia="Arial" w:cs="Arial"/>
          </w:rPr>
          <w:id w:val="-2066481243"/>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81418" w:rsidRPr="005F339C">
        <w:rPr>
          <w:rFonts w:eastAsia="Arial" w:cs="Arial"/>
        </w:rPr>
        <w:t>Highway BRT</w:t>
      </w:r>
    </w:p>
    <w:p w14:paraId="2AEEB085" w14:textId="648E674E" w:rsidR="00534F2C" w:rsidRDefault="00000000" w:rsidP="00504782">
      <w:pPr>
        <w:ind w:left="720" w:hanging="360"/>
        <w:rPr>
          <w:rFonts w:eastAsia="Arial" w:cs="Arial"/>
        </w:rPr>
      </w:pPr>
      <w:sdt>
        <w:sdtPr>
          <w:rPr>
            <w:rFonts w:eastAsia="Arial" w:cs="Arial"/>
          </w:rPr>
          <w:id w:val="1139918209"/>
          <w14:checkbox>
            <w14:checked w14:val="0"/>
            <w14:checkedState w14:val="2612" w14:font="MS Gothic"/>
            <w14:uncheckedState w14:val="2610" w14:font="MS Gothic"/>
          </w14:checkbox>
        </w:sdtPr>
        <w:sdtContent>
          <w:r w:rsidR="00534F2C" w:rsidRPr="005F339C">
            <w:rPr>
              <w:rFonts w:ascii="Segoe UI Symbol" w:eastAsia="Arial" w:hAnsi="Segoe UI Symbol" w:cs="Segoe UI Symbol"/>
            </w:rPr>
            <w:t>☐</w:t>
          </w:r>
        </w:sdtContent>
      </w:sdt>
      <w:r w:rsidR="00534F2C" w:rsidRPr="005F339C">
        <w:rPr>
          <w:rFonts w:eastAsia="Arial" w:cs="Arial"/>
        </w:rPr>
        <w:tab/>
      </w:r>
      <w:r w:rsidR="00534F2C">
        <w:rPr>
          <w:rFonts w:eastAsia="Arial" w:cs="Arial"/>
        </w:rPr>
        <w:t>Dedicated</w:t>
      </w:r>
      <w:r w:rsidR="00534F2C" w:rsidRPr="005F339C">
        <w:rPr>
          <w:rFonts w:eastAsia="Arial" w:cs="Arial"/>
        </w:rPr>
        <w:t xml:space="preserve"> BRT</w:t>
      </w:r>
    </w:p>
    <w:p w14:paraId="41A1DBB4" w14:textId="2C5E8D94" w:rsidR="00F81418" w:rsidRPr="005F339C" w:rsidRDefault="00000000" w:rsidP="00504782">
      <w:pPr>
        <w:ind w:left="720" w:hanging="360"/>
        <w:rPr>
          <w:rFonts w:eastAsia="Arial" w:cs="Arial"/>
        </w:rPr>
      </w:pPr>
      <w:sdt>
        <w:sdtPr>
          <w:rPr>
            <w:rFonts w:eastAsia="Arial" w:cs="Arial"/>
          </w:rPr>
          <w:id w:val="1204367909"/>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F81418" w:rsidRPr="005F339C">
        <w:rPr>
          <w:rFonts w:eastAsia="Arial" w:cs="Arial"/>
        </w:rPr>
        <w:t>Commuter rail</w:t>
      </w:r>
    </w:p>
    <w:p w14:paraId="2FE951E7" w14:textId="6E484F46" w:rsidR="002613B5" w:rsidRPr="005F339C" w:rsidRDefault="00515D01" w:rsidP="002613B5">
      <w:r w:rsidRPr="005F339C">
        <w:t xml:space="preserve">Does </w:t>
      </w:r>
      <w:r w:rsidR="008336A7">
        <w:t>the</w:t>
      </w:r>
      <w:r w:rsidR="008336A7" w:rsidRPr="005F339C">
        <w:t xml:space="preserve"> </w:t>
      </w:r>
      <w:r w:rsidRPr="005F339C">
        <w:t>project meet the definition of a coverage service? If yes, check which type of coverage service applies.</w:t>
      </w:r>
    </w:p>
    <w:p w14:paraId="5F8C60EC" w14:textId="3695AD35" w:rsidR="00421BB6" w:rsidRPr="005F339C" w:rsidRDefault="00000000" w:rsidP="00504782">
      <w:pPr>
        <w:ind w:left="720" w:hanging="360"/>
        <w:rPr>
          <w:rFonts w:eastAsia="Arial" w:cs="Arial"/>
        </w:rPr>
      </w:pPr>
      <w:sdt>
        <w:sdtPr>
          <w:rPr>
            <w:rFonts w:eastAsia="Arial" w:cs="Arial"/>
          </w:rPr>
          <w:id w:val="-1263997946"/>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515D01" w:rsidRPr="005F339C">
        <w:rPr>
          <w:rFonts w:eastAsia="Arial" w:cs="Arial"/>
        </w:rPr>
        <w:t>Geographic coverage</w:t>
      </w:r>
    </w:p>
    <w:p w14:paraId="276F1720" w14:textId="2B7B416E" w:rsidR="00421BB6" w:rsidRPr="005F339C" w:rsidRDefault="00000000" w:rsidP="00504782">
      <w:pPr>
        <w:ind w:left="720" w:hanging="360"/>
        <w:rPr>
          <w:rFonts w:eastAsia="Arial" w:cs="Arial"/>
        </w:rPr>
      </w:pPr>
      <w:sdt>
        <w:sdtPr>
          <w:rPr>
            <w:rFonts w:eastAsia="Arial" w:cs="Arial"/>
          </w:rPr>
          <w:id w:val="1313206272"/>
          <w14:checkbox>
            <w14:checked w14:val="0"/>
            <w14:checkedState w14:val="2612" w14:font="MS Gothic"/>
            <w14:uncheckedState w14:val="2610" w14:font="MS Gothic"/>
          </w14:checkbox>
        </w:sdtPr>
        <w:sdtContent>
          <w:r w:rsidR="008068C1" w:rsidRPr="005F339C">
            <w:rPr>
              <w:rFonts w:ascii="Segoe UI Symbol" w:eastAsia="Arial" w:hAnsi="Segoe UI Symbol" w:cs="Segoe UI Symbol"/>
            </w:rPr>
            <w:t>☐</w:t>
          </w:r>
        </w:sdtContent>
      </w:sdt>
      <w:r w:rsidR="008068C1" w:rsidRPr="005F339C">
        <w:rPr>
          <w:rFonts w:eastAsia="Arial" w:cs="Arial"/>
        </w:rPr>
        <w:tab/>
      </w:r>
      <w:r w:rsidR="00515D01" w:rsidRPr="005F339C">
        <w:rPr>
          <w:rFonts w:eastAsia="Arial" w:cs="Arial"/>
        </w:rPr>
        <w:t>Job-access coverage</w:t>
      </w:r>
    </w:p>
    <w:p w14:paraId="4DEABEEE" w14:textId="5EF93F0B" w:rsidR="00515D01" w:rsidRPr="00A072E3" w:rsidRDefault="001E615A" w:rsidP="00515D01">
      <w:r w:rsidRPr="00A072E3">
        <w:t>Provide estimates for the following metrics</w:t>
      </w:r>
      <w:r w:rsidR="006F604C" w:rsidRPr="00A072E3">
        <w:t xml:space="preserve">. If </w:t>
      </w:r>
      <w:r w:rsidR="00612DF3" w:rsidRPr="00A072E3">
        <w:t xml:space="preserve">the </w:t>
      </w:r>
      <w:r w:rsidR="00C47BE5" w:rsidRPr="00A072E3">
        <w:t xml:space="preserve">project expands an existing route, provide estimates for the </w:t>
      </w:r>
      <w:r w:rsidR="00630889" w:rsidRPr="00A072E3">
        <w:t xml:space="preserve">route as expanded, not just the added </w:t>
      </w:r>
      <w:r w:rsidR="00F07B22" w:rsidRPr="00A072E3">
        <w:t xml:space="preserve">portion of the </w:t>
      </w:r>
      <w:r w:rsidR="00630889" w:rsidRPr="00A072E3">
        <w:t>service</w:t>
      </w:r>
      <w:r w:rsidR="785BAA2F" w:rsidRPr="00A072E3">
        <w:t xml:space="preserve">. </w:t>
      </w:r>
      <w:r w:rsidR="00F07B22" w:rsidRPr="00A072E3">
        <w:t>For facility projects</w:t>
      </w:r>
      <w:r w:rsidR="00FA6D59" w:rsidRPr="00A072E3">
        <w:t xml:space="preserve">, </w:t>
      </w:r>
      <w:r w:rsidR="009F03A9" w:rsidRPr="00A072E3">
        <w:t>respond with current data</w:t>
      </w:r>
      <w:r w:rsidR="51CB18F8" w:rsidRPr="00A072E3">
        <w:t xml:space="preserve"> for the route(s) connecting to the facility</w:t>
      </w:r>
      <w:r w:rsidR="009F03A9" w:rsidRPr="00A072E3">
        <w:t xml:space="preserve">. </w:t>
      </w:r>
      <w:r w:rsidR="785BAA2F" w:rsidRPr="00A072E3">
        <w:t>You may choose to provide alternative performance metrics to quantify the project’s impact</w:t>
      </w:r>
      <w:r w:rsidR="36CB3DF1" w:rsidRPr="00A072E3">
        <w:t>; however, you should include your rationale for using other metrics as part of your narrative response.</w:t>
      </w:r>
    </w:p>
    <w:p w14:paraId="66E324A5" w14:textId="2A4A800B" w:rsidR="00B54562" w:rsidRPr="00A072E3" w:rsidRDefault="00B54562" w:rsidP="00A072E3">
      <w:pPr>
        <w:pStyle w:val="ListBullet"/>
        <w:numPr>
          <w:ilvl w:val="0"/>
          <w:numId w:val="0"/>
        </w:numPr>
      </w:pPr>
      <w:r w:rsidRPr="00A072E3">
        <w:rPr>
          <w:b/>
          <w:bCs/>
        </w:rPr>
        <w:t>Note</w:t>
      </w:r>
      <w:r w:rsidRPr="00A072E3">
        <w:t xml:space="preserve">: Up until two weeks prior to the application due date, applicants will be able to submit their estimates to Metropolitan Council staff, who will advise whether the estimates need to be corrected. This optional review, or lack thereof, will be made available to the scorer of this </w:t>
      </w:r>
      <w:r w:rsidR="00925752">
        <w:t>measure</w:t>
      </w:r>
      <w:r w:rsidRPr="00A072E3">
        <w:t>. Applicants who plan to use an alternative ridership estimation methodology are strongly encouraged to do this to avoid risking a deduction in their score.</w:t>
      </w:r>
    </w:p>
    <w:p w14:paraId="582F64FF" w14:textId="77777777" w:rsidR="00BA6D1D" w:rsidRPr="00A072E3" w:rsidRDefault="00BA6D1D" w:rsidP="00A072E3">
      <w:pPr>
        <w:pStyle w:val="ListBullet"/>
        <w:numPr>
          <w:ilvl w:val="0"/>
          <w:numId w:val="0"/>
        </w:numPr>
      </w:pPr>
    </w:p>
    <w:p w14:paraId="347F28BD" w14:textId="541FD328" w:rsidR="00E25A17" w:rsidRPr="00A072E3" w:rsidRDefault="00E25A17" w:rsidP="00A072E3">
      <w:r w:rsidRPr="00A072E3">
        <w:t>For service expansion projects</w:t>
      </w:r>
      <w:r w:rsidR="001D36A7" w:rsidRPr="00A072E3">
        <w:t xml:space="preserve"> (with or without new or expanded facilities)</w:t>
      </w:r>
      <w:r w:rsidRPr="00A072E3">
        <w:t>:</w:t>
      </w:r>
    </w:p>
    <w:p w14:paraId="666FDB98" w14:textId="633AA845" w:rsidR="00E40670" w:rsidRPr="00A072E3" w:rsidRDefault="578CA52D" w:rsidP="00A072E3">
      <w:pPr>
        <w:pStyle w:val="ListBullet"/>
        <w:numPr>
          <w:ilvl w:val="0"/>
          <w:numId w:val="40"/>
        </w:numPr>
      </w:pPr>
      <w:r w:rsidRPr="00A072E3">
        <w:t>Estimated passenger per in service hour in third year of service:</w:t>
      </w:r>
      <w:r w:rsidR="7E17BE2B" w:rsidRPr="00A072E3">
        <w:t xml:space="preserve"> _</w:t>
      </w:r>
    </w:p>
    <w:p w14:paraId="0DD468EC" w14:textId="5C563DC6" w:rsidR="002827EE" w:rsidRPr="00A072E3" w:rsidRDefault="00E40670" w:rsidP="00A072E3">
      <w:pPr>
        <w:pStyle w:val="ListBullet"/>
        <w:numPr>
          <w:ilvl w:val="0"/>
          <w:numId w:val="40"/>
        </w:numPr>
      </w:pPr>
      <w:r w:rsidRPr="00A072E3">
        <w:t>Route average</w:t>
      </w:r>
      <w:r w:rsidR="00763A80" w:rsidRPr="00A072E3">
        <w:t xml:space="preserve"> riders per in</w:t>
      </w:r>
      <w:r w:rsidR="005F6633" w:rsidRPr="00A072E3">
        <w:t>-</w:t>
      </w:r>
      <w:r w:rsidR="00763A80" w:rsidRPr="00A072E3">
        <w:t>service hour</w:t>
      </w:r>
      <w:r w:rsidRPr="00A072E3">
        <w:t>:</w:t>
      </w:r>
      <w:r w:rsidR="00D254DD" w:rsidRPr="00A072E3">
        <w:t xml:space="preserve"> _</w:t>
      </w:r>
    </w:p>
    <w:p w14:paraId="643EBD9B" w14:textId="738CC58B" w:rsidR="00E40670" w:rsidRPr="00A072E3" w:rsidRDefault="00E40670" w:rsidP="00A072E3">
      <w:pPr>
        <w:pStyle w:val="ListBullet"/>
        <w:numPr>
          <w:ilvl w:val="0"/>
          <w:numId w:val="40"/>
        </w:numPr>
      </w:pPr>
      <w:r w:rsidRPr="00A072E3">
        <w:t>Minimum</w:t>
      </w:r>
      <w:r w:rsidR="00763A80" w:rsidRPr="00A072E3">
        <w:t xml:space="preserve"> riders per in</w:t>
      </w:r>
      <w:r w:rsidR="005F6633" w:rsidRPr="00A072E3">
        <w:t>-</w:t>
      </w:r>
      <w:r w:rsidR="00763A80" w:rsidRPr="00A072E3">
        <w:t>service hour</w:t>
      </w:r>
      <w:r w:rsidRPr="00A072E3">
        <w:t>: _</w:t>
      </w:r>
    </w:p>
    <w:p w14:paraId="45012E50" w14:textId="1DE9F577" w:rsidR="00650B05" w:rsidRPr="00A072E3" w:rsidRDefault="00650B05" w:rsidP="00A072E3">
      <w:pPr>
        <w:pStyle w:val="ListBullet"/>
        <w:numPr>
          <w:ilvl w:val="0"/>
          <w:numId w:val="40"/>
        </w:numPr>
      </w:pPr>
      <w:r w:rsidRPr="00A072E3">
        <w:t xml:space="preserve">Estimated subsidy per passenger in </w:t>
      </w:r>
      <w:r w:rsidR="119C63C2" w:rsidRPr="00A072E3">
        <w:t xml:space="preserve">third </w:t>
      </w:r>
      <w:r w:rsidRPr="00A072E3">
        <w:t xml:space="preserve">year </w:t>
      </w:r>
      <w:r w:rsidR="006F604C" w:rsidRPr="00A072E3">
        <w:t>of service</w:t>
      </w:r>
      <w:r w:rsidRPr="00A072E3">
        <w:t xml:space="preserve">: </w:t>
      </w:r>
      <w:r w:rsidR="006F5B23">
        <w:t>_</w:t>
      </w:r>
    </w:p>
    <w:p w14:paraId="59218F05" w14:textId="60C6FF5D" w:rsidR="00E25A17" w:rsidRPr="00A072E3" w:rsidRDefault="00E25A17" w:rsidP="00A072E3">
      <w:r w:rsidRPr="00A072E3">
        <w:t>For facility-only projects:</w:t>
      </w:r>
      <w:r w:rsidR="00DF067F" w:rsidRPr="00A072E3">
        <w:t xml:space="preserve"> Provide current information for routes that connect to the facility.</w:t>
      </w:r>
    </w:p>
    <w:p w14:paraId="564951B5" w14:textId="337A8AE8" w:rsidR="00E25A17" w:rsidRPr="00A072E3" w:rsidRDefault="002D0FB3" w:rsidP="00A072E3">
      <w:pPr>
        <w:pStyle w:val="ListBullet"/>
        <w:numPr>
          <w:ilvl w:val="0"/>
          <w:numId w:val="40"/>
        </w:numPr>
      </w:pPr>
      <w:r w:rsidRPr="00A072E3">
        <w:t>Current passenger per in</w:t>
      </w:r>
      <w:r w:rsidR="005F6633" w:rsidRPr="00A072E3">
        <w:t>-</w:t>
      </w:r>
      <w:r w:rsidRPr="00A072E3">
        <w:t>service hours:</w:t>
      </w:r>
      <w:r w:rsidR="008C4F74" w:rsidRPr="00A072E3">
        <w:t xml:space="preserve"> _</w:t>
      </w:r>
    </w:p>
    <w:p w14:paraId="6D5BA5FB" w14:textId="7F2FB45A" w:rsidR="008C4F74" w:rsidRPr="00A072E3" w:rsidRDefault="008C4F74" w:rsidP="00A072E3">
      <w:pPr>
        <w:pStyle w:val="ListBullet"/>
        <w:numPr>
          <w:ilvl w:val="0"/>
          <w:numId w:val="40"/>
        </w:numPr>
      </w:pPr>
      <w:r w:rsidRPr="00A072E3">
        <w:t>Route average riders per in</w:t>
      </w:r>
      <w:r w:rsidR="005F6633" w:rsidRPr="00A072E3">
        <w:t>-</w:t>
      </w:r>
      <w:r w:rsidRPr="00A072E3">
        <w:t>service hour: _</w:t>
      </w:r>
    </w:p>
    <w:p w14:paraId="7E415DCC" w14:textId="6426EB3C" w:rsidR="0718ED30" w:rsidRPr="00A072E3" w:rsidRDefault="0718ED30" w:rsidP="00A072E3">
      <w:pPr>
        <w:pStyle w:val="ListBullet"/>
        <w:numPr>
          <w:ilvl w:val="0"/>
          <w:numId w:val="40"/>
        </w:numPr>
      </w:pPr>
      <w:r w:rsidRPr="00A072E3">
        <w:t>Current subsidy per passenger</w:t>
      </w:r>
      <w:r w:rsidR="63852AB6" w:rsidRPr="00A072E3">
        <w:t>: _</w:t>
      </w:r>
    </w:p>
    <w:p w14:paraId="7DE4EAE5" w14:textId="70445779" w:rsidR="008C4F74" w:rsidRPr="00A072E3" w:rsidRDefault="008C4F74" w:rsidP="00A072E3">
      <w:pPr>
        <w:pStyle w:val="ListBullet"/>
        <w:numPr>
          <w:ilvl w:val="0"/>
          <w:numId w:val="40"/>
        </w:numPr>
      </w:pPr>
      <w:r w:rsidRPr="00A072E3">
        <w:t>Minimum riders per in</w:t>
      </w:r>
      <w:r w:rsidR="005F6633" w:rsidRPr="00A072E3">
        <w:t>-</w:t>
      </w:r>
      <w:r w:rsidRPr="00A072E3">
        <w:t>service hour: ____________</w:t>
      </w:r>
    </w:p>
    <w:p w14:paraId="1572511A" w14:textId="441B5774" w:rsidR="007527B1" w:rsidRPr="00A072E3" w:rsidRDefault="007527B1" w:rsidP="00A072E3">
      <w:pPr>
        <w:pStyle w:val="ListBullet"/>
        <w:numPr>
          <w:ilvl w:val="0"/>
          <w:numId w:val="40"/>
        </w:numPr>
      </w:pPr>
      <w:r w:rsidRPr="00A072E3">
        <w:t>Current average stop spacing: _</w:t>
      </w:r>
    </w:p>
    <w:p w14:paraId="2B7102AA" w14:textId="7BB13106" w:rsidR="007527B1" w:rsidRPr="00A072E3" w:rsidRDefault="007527B1" w:rsidP="00A072E3">
      <w:pPr>
        <w:pStyle w:val="ListBullet"/>
        <w:numPr>
          <w:ilvl w:val="0"/>
          <w:numId w:val="40"/>
        </w:numPr>
      </w:pPr>
      <w:r w:rsidRPr="00A072E3">
        <w:t xml:space="preserve">Proposed average stop spacing: </w:t>
      </w:r>
    </w:p>
    <w:p w14:paraId="280368CA" w14:textId="67F6E43D" w:rsidR="7B17DBBE" w:rsidRPr="00A072E3" w:rsidRDefault="7B17DBBE" w:rsidP="00A072E3">
      <w:pPr>
        <w:pStyle w:val="ListBullet"/>
        <w:numPr>
          <w:ilvl w:val="0"/>
          <w:numId w:val="40"/>
        </w:numPr>
      </w:pPr>
      <w:r w:rsidRPr="00A072E3">
        <w:t>Optional: alternative performance metrics: _</w:t>
      </w:r>
    </w:p>
    <w:p w14:paraId="5E79F521" w14:textId="059EF5F8" w:rsidR="00C33F7A" w:rsidRDefault="00E61954" w:rsidP="006F604C">
      <w:r>
        <w:t xml:space="preserve">Based on the guidance provided in the 2050 Transportation Policy Plan, provide a brief narrative of how the project aligns with the productivity and cost-effectiveness performance guidelines. Include information on how the project </w:t>
      </w:r>
      <w:r w:rsidR="003B3294">
        <w:t>aligns with stop/station spacing guidelines if applicable.</w:t>
      </w:r>
      <w:r>
        <w:t xml:space="preserve"> If using another methodology to assess the project’s performance, provide your explanation here. If the project expands an existing route, consider the expanded service in total, not just the portion of added service, when answering this question (300 words or less): _</w:t>
      </w:r>
    </w:p>
    <w:p w14:paraId="037E57AD" w14:textId="3E4EDD99" w:rsidR="006F604C" w:rsidRPr="005F339C" w:rsidRDefault="006F604C" w:rsidP="006F604C">
      <w:r w:rsidRPr="005F339C">
        <w:lastRenderedPageBreak/>
        <w:t xml:space="preserve">Provide a brief narrative of the data and methodology you used to quantify the </w:t>
      </w:r>
      <w:r w:rsidR="729FB626" w:rsidRPr="005F339C">
        <w:t>project's</w:t>
      </w:r>
      <w:r w:rsidRPr="005F339C">
        <w:t xml:space="preserve"> impact</w:t>
      </w:r>
      <w:r w:rsidR="00CF2DE3">
        <w:t xml:space="preserve"> (100 words or less)</w:t>
      </w:r>
      <w:r w:rsidR="002034CE">
        <w:t>: _</w:t>
      </w:r>
    </w:p>
    <w:p w14:paraId="7F33A727" w14:textId="77777777" w:rsidR="0038783C" w:rsidRPr="00450499" w:rsidRDefault="0038783C" w:rsidP="00153CDB">
      <w:pPr>
        <w:pStyle w:val="Heading4"/>
      </w:pPr>
      <w:r>
        <w:t>Scoring Guidance</w:t>
      </w:r>
    </w:p>
    <w:p w14:paraId="1E7D806B" w14:textId="2EDCA4B2" w:rsidR="000808E0" w:rsidRDefault="000808E0" w:rsidP="00D41749">
      <w:r w:rsidRPr="533025F0">
        <w:rPr>
          <w:rFonts w:eastAsia="Arial"/>
        </w:rPr>
        <w:t xml:space="preserve">Consider the information and narrative provided by the applicant and rate projects from Low to High based on the benchmarks provided below. Projects may be rated at any point along the scale based on their performance against the stated </w:t>
      </w:r>
      <w:r w:rsidR="00925752">
        <w:rPr>
          <w:rFonts w:eastAsia="Arial"/>
        </w:rPr>
        <w:t>guidance</w:t>
      </w:r>
      <w:r w:rsidRPr="533025F0">
        <w:rPr>
          <w:rFonts w:eastAsia="Arial"/>
        </w:rPr>
        <w:t xml:space="preserve">. </w:t>
      </w:r>
      <w:r>
        <w:rPr>
          <w:rFonts w:eastAsia="Arial"/>
        </w:rPr>
        <w:t>For this measure, it is important to have differentiation among the applications. The scorer may adjust the rubric, as needed, to ensure at least a 10-point spread among the applications.</w:t>
      </w:r>
    </w:p>
    <w:p w14:paraId="312F64B8" w14:textId="05D75A36" w:rsidR="00007FB8" w:rsidRPr="00A072E3" w:rsidRDefault="00592FC5" w:rsidP="003F7E0A">
      <w:r>
        <w:t xml:space="preserve">Refer </w:t>
      </w:r>
      <w:r w:rsidR="006851FF">
        <w:t xml:space="preserve">to </w:t>
      </w:r>
      <w:r w:rsidR="006851FF" w:rsidRPr="3B87B636">
        <w:rPr>
          <w:i/>
          <w:iCs/>
        </w:rPr>
        <w:t xml:space="preserve">Table </w:t>
      </w:r>
      <w:r w:rsidR="00D65DBA" w:rsidRPr="3B87B636">
        <w:rPr>
          <w:i/>
          <w:iCs/>
        </w:rPr>
        <w:t xml:space="preserve">9.11: Minimum </w:t>
      </w:r>
      <w:r w:rsidR="003A401B" w:rsidRPr="3B87B636">
        <w:rPr>
          <w:i/>
          <w:iCs/>
        </w:rPr>
        <w:t>guidance</w:t>
      </w:r>
      <w:r w:rsidR="00D65DBA" w:rsidRPr="3B87B636">
        <w:rPr>
          <w:i/>
          <w:iCs/>
        </w:rPr>
        <w:t xml:space="preserve"> for passengers per in-service hour</w:t>
      </w:r>
      <w:r w:rsidR="00D65DBA">
        <w:t xml:space="preserve"> </w:t>
      </w:r>
      <w:r w:rsidR="07754139">
        <w:t xml:space="preserve">and </w:t>
      </w:r>
      <w:r w:rsidR="07754139" w:rsidRPr="3B87B636">
        <w:rPr>
          <w:i/>
          <w:iCs/>
        </w:rPr>
        <w:t xml:space="preserve">Table 9.12: Subsidy thresholds per </w:t>
      </w:r>
      <w:r w:rsidR="07754139" w:rsidRPr="00A072E3">
        <w:t>passenger</w:t>
      </w:r>
      <w:r w:rsidR="07754139" w:rsidRPr="3B87B636">
        <w:t xml:space="preserve"> </w:t>
      </w:r>
      <w:r w:rsidR="006851FF" w:rsidRPr="3B87B636">
        <w:t xml:space="preserve">of the </w:t>
      </w:r>
      <w:r w:rsidR="00D65DBA">
        <w:t>2050 T</w:t>
      </w:r>
      <w:r w:rsidR="009F1923">
        <w:t xml:space="preserve">ransportation </w:t>
      </w:r>
      <w:r w:rsidR="00D65DBA">
        <w:t>P</w:t>
      </w:r>
      <w:r w:rsidR="009F1923">
        <w:t xml:space="preserve">olicy </w:t>
      </w:r>
      <w:r w:rsidR="00D65DBA">
        <w:t>P</w:t>
      </w:r>
      <w:r w:rsidR="009F1923">
        <w:t>lan</w:t>
      </w:r>
      <w:r w:rsidR="00D65DBA">
        <w:t xml:space="preserve"> </w:t>
      </w:r>
      <w:r w:rsidR="00BB4207">
        <w:t xml:space="preserve">Regional </w:t>
      </w:r>
      <w:r w:rsidR="006851FF">
        <w:t>Transit Design</w:t>
      </w:r>
      <w:r w:rsidR="00BB4207">
        <w:t xml:space="preserve"> and</w:t>
      </w:r>
      <w:r w:rsidR="006851FF">
        <w:t xml:space="preserve"> Performance Guidelines </w:t>
      </w:r>
      <w:r>
        <w:t xml:space="preserve">to assess whether the project aligns with </w:t>
      </w:r>
      <w:r w:rsidR="002827EE">
        <w:t xml:space="preserve">performance guidelines for passengers per in-service hour, </w:t>
      </w:r>
      <w:r w:rsidR="0021424E">
        <w:t>based on the data provided by the applicant.</w:t>
      </w:r>
      <w:r w:rsidR="00397A6D">
        <w:t xml:space="preserve"> Also consider the subsidy per passenger information</w:t>
      </w:r>
      <w:r w:rsidR="003D07CC">
        <w:t xml:space="preserve">, whether the </w:t>
      </w:r>
      <w:r w:rsidR="4ECA16F0">
        <w:t>project</w:t>
      </w:r>
      <w:r w:rsidR="003D07CC">
        <w:t xml:space="preserve"> is geographic or job-access coverage service,</w:t>
      </w:r>
      <w:r w:rsidR="00397A6D">
        <w:t xml:space="preserve"> </w:t>
      </w:r>
      <w:r w:rsidR="003D07CC">
        <w:t xml:space="preserve">the </w:t>
      </w:r>
      <w:r w:rsidR="00397A6D" w:rsidRPr="00A072E3">
        <w:t>narrative provided by the applicant</w:t>
      </w:r>
      <w:r w:rsidR="7CDAA5AB" w:rsidRPr="00A072E3">
        <w:t>, and explanation of methodology</w:t>
      </w:r>
      <w:r w:rsidR="00397A6D" w:rsidRPr="00A072E3">
        <w:t>.</w:t>
      </w:r>
    </w:p>
    <w:p w14:paraId="68A3AC27" w14:textId="12487779" w:rsidR="00C33F7A" w:rsidRPr="00A072E3" w:rsidRDefault="000808E0" w:rsidP="003F7E0A">
      <w:pPr>
        <w:rPr>
          <w:b/>
          <w:bCs/>
        </w:rPr>
      </w:pPr>
      <w:r w:rsidRPr="00A072E3">
        <w:rPr>
          <w:b/>
          <w:bCs/>
        </w:rPr>
        <w:t xml:space="preserve">For facility-only projects: </w:t>
      </w:r>
      <w:r w:rsidR="007968B9" w:rsidRPr="00A072E3">
        <w:t>In addition to the guidance above,</w:t>
      </w:r>
      <w:r w:rsidR="007968B9" w:rsidRPr="00A072E3">
        <w:rPr>
          <w:b/>
          <w:bCs/>
        </w:rPr>
        <w:t xml:space="preserve"> </w:t>
      </w:r>
      <w:r w:rsidR="007968B9" w:rsidRPr="00A072E3">
        <w:t>r</w:t>
      </w:r>
      <w:r w:rsidR="00C33F7A" w:rsidRPr="00A072E3">
        <w:t xml:space="preserve">efer to </w:t>
      </w:r>
      <w:r w:rsidR="00C33F7A" w:rsidRPr="00A072E3">
        <w:rPr>
          <w:i/>
          <w:iCs/>
        </w:rPr>
        <w:t>Table 9.</w:t>
      </w:r>
      <w:r w:rsidR="00761B2A" w:rsidRPr="00A072E3">
        <w:rPr>
          <w:i/>
          <w:iCs/>
        </w:rPr>
        <w:t>4</w:t>
      </w:r>
      <w:r w:rsidR="00C33F7A" w:rsidRPr="00A072E3">
        <w:rPr>
          <w:i/>
          <w:iCs/>
        </w:rPr>
        <w:t>:</w:t>
      </w:r>
      <w:r w:rsidR="00111AE4" w:rsidRPr="00A072E3">
        <w:rPr>
          <w:i/>
          <w:iCs/>
        </w:rPr>
        <w:t xml:space="preserve"> Local and express route spacing guidelines </w:t>
      </w:r>
      <w:r w:rsidR="00111AE4" w:rsidRPr="00A072E3">
        <w:t>and</w:t>
      </w:r>
      <w:r w:rsidR="00111AE4" w:rsidRPr="00A072E3">
        <w:rPr>
          <w:i/>
          <w:iCs/>
        </w:rPr>
        <w:t xml:space="preserve"> Table 9.5 Local bus route spacing guidelines by route type and Transit Market </w:t>
      </w:r>
      <w:r w:rsidR="00C33F7A" w:rsidRPr="00A072E3">
        <w:t xml:space="preserve">of the 2050 Transportation Policy Plan Regional Transit Design and Performance Guidelines to assess whether the project aligns with performance guidelines for </w:t>
      </w:r>
      <w:r w:rsidR="00111AE4" w:rsidRPr="00A072E3">
        <w:t>stop spacing</w:t>
      </w:r>
      <w:r w:rsidR="00C33F7A" w:rsidRPr="00A072E3">
        <w:t xml:space="preserve">, based on the data provided by the applicant. </w:t>
      </w:r>
    </w:p>
    <w:p w14:paraId="61DC428C" w14:textId="659C6F38" w:rsidR="00007FB8" w:rsidRPr="005F339C" w:rsidRDefault="00105CE1" w:rsidP="78A6E6CE">
      <w:r>
        <w:t>If alternative performance metrics are provided</w:t>
      </w:r>
      <w:r w:rsidR="00534F2C">
        <w:t xml:space="preserve">, </w:t>
      </w:r>
      <w:r w:rsidR="1A48DC37">
        <w:t xml:space="preserve">the </w:t>
      </w:r>
      <w:r w:rsidR="00534F2C">
        <w:t>scorer should consult the design and performance guidelines as reference and use their best judgement to assign a score</w:t>
      </w:r>
      <w:r w:rsidR="583A91E1">
        <w:t>.</w:t>
      </w:r>
    </w:p>
    <w:p w14:paraId="0F1F36A8" w14:textId="5498D314" w:rsidR="00047795" w:rsidRPr="00A072E3" w:rsidRDefault="44AEF40F" w:rsidP="00A072E3">
      <w:pPr>
        <w:pStyle w:val="ListBullet"/>
        <w:numPr>
          <w:ilvl w:val="0"/>
          <w:numId w:val="40"/>
        </w:numPr>
      </w:pPr>
      <w:r w:rsidRPr="00A072E3">
        <w:rPr>
          <w:b/>
          <w:bCs/>
        </w:rPr>
        <w:t>High:</w:t>
      </w:r>
      <w:r w:rsidRPr="00A072E3">
        <w:t xml:space="preserve"> The highest rated projects in this measure will exceed the average passenger per in-service hour guidelines and be below the average per passenger subsidy for the route type. If the project is geographic or job-access coverage, it may still be awarded full points even though it doesn’t meet these thresholds if it is close, and the narrative describes the critical service gap filled by the project. The methodology provided must be technically </w:t>
      </w:r>
      <w:r w:rsidR="00261648" w:rsidRPr="00A072E3">
        <w:t>established</w:t>
      </w:r>
      <w:r w:rsidRPr="00A072E3">
        <w:t>.</w:t>
      </w:r>
      <w:r w:rsidR="007968B9" w:rsidRPr="00A072E3">
        <w:t xml:space="preserve"> </w:t>
      </w:r>
    </w:p>
    <w:p w14:paraId="1A737439" w14:textId="5D95186E" w:rsidR="00E139DC" w:rsidRPr="00A842C0" w:rsidRDefault="00534F2C" w:rsidP="00A072E3">
      <w:pPr>
        <w:pStyle w:val="ListBullet"/>
        <w:numPr>
          <w:ilvl w:val="0"/>
          <w:numId w:val="40"/>
        </w:numPr>
        <w:rPr>
          <w:b/>
          <w:bCs/>
        </w:rPr>
      </w:pPr>
      <w:r w:rsidRPr="00A842C0">
        <w:rPr>
          <w:b/>
          <w:bCs/>
        </w:rPr>
        <w:t>Medium-High</w:t>
      </w:r>
    </w:p>
    <w:p w14:paraId="35CCC41A" w14:textId="7298CC4B" w:rsidR="00E139DC" w:rsidRPr="00A072E3" w:rsidRDefault="44AEF40F" w:rsidP="00A072E3">
      <w:pPr>
        <w:pStyle w:val="ListBullet"/>
        <w:numPr>
          <w:ilvl w:val="0"/>
          <w:numId w:val="40"/>
        </w:numPr>
      </w:pPr>
      <w:r w:rsidRPr="00A072E3">
        <w:rPr>
          <w:b/>
          <w:bCs/>
        </w:rPr>
        <w:t>Medium:</w:t>
      </w:r>
      <w:r w:rsidRPr="00A072E3">
        <w:t xml:space="preserve"> Mid-range projects in this measure may meet some but not all passenger per in-service hour and average subsidy per passenger thresholds. Projects meeting or exceeding more performance thresholds should be scored higher than those meeting fewer. Differentiation among projects should also be made based on the merit of the service described in the narrative. Points should be deducted if no methodology is provided or methodology is not </w:t>
      </w:r>
      <w:r w:rsidR="00261648" w:rsidRPr="00A072E3">
        <w:t>established</w:t>
      </w:r>
      <w:r w:rsidRPr="00A072E3">
        <w:t>.</w:t>
      </w:r>
    </w:p>
    <w:p w14:paraId="0FA60A3E" w14:textId="17B81C42" w:rsidR="7241AEFD" w:rsidRPr="00A842C0" w:rsidRDefault="7241AEFD" w:rsidP="00A072E3">
      <w:pPr>
        <w:pStyle w:val="ListBullet"/>
        <w:numPr>
          <w:ilvl w:val="0"/>
          <w:numId w:val="40"/>
        </w:numPr>
        <w:rPr>
          <w:b/>
          <w:bCs/>
        </w:rPr>
      </w:pPr>
      <w:r w:rsidRPr="00A842C0">
        <w:rPr>
          <w:b/>
          <w:bCs/>
        </w:rPr>
        <w:t>Medium-Low</w:t>
      </w:r>
    </w:p>
    <w:p w14:paraId="647E5FEC" w14:textId="05E6874D" w:rsidR="00E139DC" w:rsidRPr="00A072E3" w:rsidRDefault="59002E87" w:rsidP="00A072E3">
      <w:pPr>
        <w:pStyle w:val="ListBullet"/>
        <w:numPr>
          <w:ilvl w:val="0"/>
          <w:numId w:val="40"/>
        </w:numPr>
      </w:pPr>
      <w:r w:rsidRPr="00A072E3">
        <w:rPr>
          <w:b/>
          <w:bCs/>
        </w:rPr>
        <w:t>Low:</w:t>
      </w:r>
      <w:r w:rsidRPr="00A072E3">
        <w:t xml:space="preserve"> Projects that do not meet average or minimum passenger </w:t>
      </w:r>
      <w:proofErr w:type="gramStart"/>
      <w:r w:rsidRPr="00A072E3">
        <w:t>per in</w:t>
      </w:r>
      <w:proofErr w:type="gramEnd"/>
      <w:r w:rsidR="63998CA2" w:rsidRPr="00A072E3">
        <w:t>-</w:t>
      </w:r>
      <w:r w:rsidRPr="00A072E3">
        <w:t xml:space="preserve">service hour guidelines and have per passenger subsidies of </w:t>
      </w:r>
      <w:proofErr w:type="gramStart"/>
      <w:r w:rsidRPr="00A072E3">
        <w:t>greater than 60</w:t>
      </w:r>
      <w:r w:rsidR="3E2BCB89" w:rsidRPr="00A072E3">
        <w:t xml:space="preserve"> percent</w:t>
      </w:r>
      <w:r w:rsidRPr="00A072E3">
        <w:t xml:space="preserve"> </w:t>
      </w:r>
      <w:r w:rsidR="2B81124B" w:rsidRPr="00A072E3">
        <w:t>more</w:t>
      </w:r>
      <w:proofErr w:type="gramEnd"/>
      <w:r w:rsidR="2B81124B" w:rsidRPr="00A072E3">
        <w:t xml:space="preserve"> than </w:t>
      </w:r>
      <w:proofErr w:type="gramStart"/>
      <w:r w:rsidR="2B81124B" w:rsidRPr="00A072E3">
        <w:t>peer</w:t>
      </w:r>
      <w:proofErr w:type="gramEnd"/>
      <w:r w:rsidR="2B81124B" w:rsidRPr="00A072E3">
        <w:t xml:space="preserve"> route average </w:t>
      </w:r>
      <w:r w:rsidRPr="00A072E3">
        <w:t>should receive a low rating for this measure. If the project is geographic or job-access coverage, it may be awarded more points even if it is below these thresholds if the narrative describes how the project fills a critical service gap.</w:t>
      </w:r>
    </w:p>
    <w:p w14:paraId="2BB4F6CD" w14:textId="73BDA0ED" w:rsidR="00E139DC" w:rsidRPr="00A072E3" w:rsidRDefault="007C4DA5" w:rsidP="00A072E3">
      <w:pPr>
        <w:pStyle w:val="ListBullet"/>
        <w:numPr>
          <w:ilvl w:val="0"/>
          <w:numId w:val="40"/>
        </w:numPr>
      </w:pPr>
      <w:r w:rsidRPr="00A072E3">
        <w:rPr>
          <w:b/>
          <w:bCs/>
        </w:rPr>
        <w:t>Non-responsive/</w:t>
      </w:r>
      <w:r w:rsidR="0092002E" w:rsidRPr="00A072E3">
        <w:rPr>
          <w:b/>
          <w:bCs/>
        </w:rPr>
        <w:t>Not</w:t>
      </w:r>
      <w:r w:rsidRPr="00A072E3">
        <w:rPr>
          <w:b/>
          <w:bCs/>
        </w:rPr>
        <w:t xml:space="preserve"> relevant</w:t>
      </w:r>
      <w:r w:rsidR="000315D3" w:rsidRPr="00A072E3">
        <w:t xml:space="preserve">: </w:t>
      </w:r>
      <w:r w:rsidR="71AF5818" w:rsidRPr="00A072E3">
        <w:t xml:space="preserve">Projects that do not provide sufficient data or explanation to assess </w:t>
      </w:r>
      <w:r w:rsidR="005F6633" w:rsidRPr="00A072E3">
        <w:t>their</w:t>
      </w:r>
      <w:r w:rsidR="71AF5818" w:rsidRPr="00A072E3">
        <w:t xml:space="preserve"> performance should receive zero points in this </w:t>
      </w:r>
      <w:r w:rsidRPr="00A072E3">
        <w:t>measure</w:t>
      </w:r>
      <w:r w:rsidR="71AF5818" w:rsidRPr="00A072E3">
        <w:t>.</w:t>
      </w:r>
    </w:p>
    <w:p w14:paraId="236CED60" w14:textId="0F634AF0" w:rsidR="00A64950" w:rsidRPr="00D068AB" w:rsidRDefault="0084451D" w:rsidP="00B127AB">
      <w:pPr>
        <w:pStyle w:val="Heading2"/>
      </w:pPr>
      <w:r>
        <w:t xml:space="preserve">New </w:t>
      </w:r>
      <w:r w:rsidR="05D72D3F">
        <w:t>R</w:t>
      </w:r>
      <w:r>
        <w:t>idership</w:t>
      </w:r>
    </w:p>
    <w:p w14:paraId="24DB5052" w14:textId="51273E7A" w:rsidR="00A64950" w:rsidRPr="00241042" w:rsidRDefault="009035F0" w:rsidP="00D41749">
      <w:r>
        <w:t>The criterion measures the project’s impact by estimating the annual new transit ridership.</w:t>
      </w:r>
    </w:p>
    <w:p w14:paraId="0CA52878" w14:textId="4DDBE8DA" w:rsidR="00A64950" w:rsidRPr="00DF1BF8" w:rsidRDefault="00241042" w:rsidP="003746CA">
      <w:pPr>
        <w:pStyle w:val="Heading3"/>
        <w:numPr>
          <w:ilvl w:val="0"/>
          <w:numId w:val="21"/>
        </w:numPr>
      </w:pPr>
      <w:r w:rsidRPr="00DF1BF8">
        <w:lastRenderedPageBreak/>
        <w:t>New Annual Riders</w:t>
      </w:r>
    </w:p>
    <w:p w14:paraId="6A05959C" w14:textId="77777777" w:rsidR="009035F0" w:rsidRPr="00B641B4" w:rsidRDefault="009035F0" w:rsidP="009035F0">
      <w:r w:rsidRPr="00B641B4">
        <w:t>Based on the service type, estimate and provide the new annual transit ridership that is produced by the new project in the third year of service.</w:t>
      </w:r>
    </w:p>
    <w:p w14:paraId="73496327" w14:textId="1B679FFD" w:rsidR="009035F0" w:rsidRPr="00B641B4" w:rsidRDefault="009035F0" w:rsidP="009035F0">
      <w:r w:rsidRPr="34FB7BB8">
        <w:rPr>
          <w:b/>
          <w:bCs/>
        </w:rPr>
        <w:t>Note</w:t>
      </w:r>
      <w:r>
        <w:t xml:space="preserve">: Up until two weeks prior to the application due date, applicants will be able to submit their </w:t>
      </w:r>
      <w:r w:rsidR="005F3154">
        <w:t xml:space="preserve">estimates </w:t>
      </w:r>
      <w:r>
        <w:t xml:space="preserve">to </w:t>
      </w:r>
      <w:r w:rsidR="00C824CD">
        <w:t xml:space="preserve">Metropolitan </w:t>
      </w:r>
      <w:r>
        <w:t xml:space="preserve">Council staff, who will advise whether the </w:t>
      </w:r>
      <w:r w:rsidR="005F3154">
        <w:t xml:space="preserve">estimates </w:t>
      </w:r>
      <w:r>
        <w:t xml:space="preserve">need to be corrected. This optional review, or lack thereof, will be made available to the scorer of this </w:t>
      </w:r>
      <w:r w:rsidR="00925752">
        <w:t>measure</w:t>
      </w:r>
      <w:r>
        <w:t>. Applicants who plan to use an alternative ridership estimation methodology are strongly encouraged to do this to avoid risking a deduction in their score.</w:t>
      </w:r>
    </w:p>
    <w:p w14:paraId="616DB512" w14:textId="48B2D0B4" w:rsidR="009035F0" w:rsidRPr="00B641B4" w:rsidRDefault="009035F0" w:rsidP="009035F0">
      <w:r>
        <w:t xml:space="preserve">Select the </w:t>
      </w:r>
      <w:r w:rsidR="61988CF7">
        <w:t>relevant ridership methodology type for the project and provide the annual transit ridership</w:t>
      </w:r>
      <w:r>
        <w:t>, based on the methodology listed in the following sections.</w:t>
      </w:r>
    </w:p>
    <w:p w14:paraId="438B6A0B" w14:textId="1A3CEB40" w:rsidR="384A4A45" w:rsidRDefault="384A4A45" w:rsidP="122BEE4D">
      <w:pPr>
        <w:spacing w:line="259" w:lineRule="auto"/>
      </w:pPr>
      <w:r>
        <w:t>Methodology type:</w:t>
      </w:r>
    </w:p>
    <w:p w14:paraId="36E84E17" w14:textId="04B5A236" w:rsidR="10B8E344" w:rsidRPr="00B641B4" w:rsidRDefault="00000000" w:rsidP="008A3BD1">
      <w:pPr>
        <w:ind w:left="720" w:hanging="360"/>
        <w:rPr>
          <w:rFonts w:eastAsia="Arial" w:cs="Arial"/>
        </w:rPr>
      </w:pPr>
      <w:sdt>
        <w:sdtPr>
          <w:rPr>
            <w:rFonts w:eastAsia="Arial" w:cs="Arial"/>
          </w:rPr>
          <w:id w:val="2029597159"/>
          <w14:checkbox>
            <w14:checked w14:val="0"/>
            <w14:checkedState w14:val="2612" w14:font="MS Gothic"/>
            <w14:uncheckedState w14:val="2610" w14:font="MS Gothic"/>
          </w14:checkbox>
        </w:sdtPr>
        <w:sdtContent>
          <w:r w:rsidR="009B4CB3">
            <w:rPr>
              <w:rFonts w:ascii="MS Gothic" w:eastAsia="MS Gothic" w:hAnsi="MS Gothic" w:cs="Arial"/>
            </w:rPr>
            <w:t>☐</w:t>
          </w:r>
        </w:sdtContent>
      </w:sdt>
      <w:r w:rsidR="009B4CB3">
        <w:rPr>
          <w:rFonts w:eastAsia="Arial" w:cs="Arial"/>
        </w:rPr>
        <w:tab/>
      </w:r>
      <w:r w:rsidR="6C1FE959">
        <w:rPr>
          <w:rFonts w:eastAsia="Arial" w:cs="Arial"/>
        </w:rPr>
        <w:t>Park-and-Rides and Express Routes Projects to Minneapolis, Saint Pa</w:t>
      </w:r>
      <w:r w:rsidR="001704EC">
        <w:rPr>
          <w:rFonts w:eastAsia="Arial" w:cs="Arial"/>
        </w:rPr>
        <w:t>u</w:t>
      </w:r>
      <w:r w:rsidR="6C1FE959">
        <w:rPr>
          <w:rFonts w:eastAsia="Arial" w:cs="Arial"/>
        </w:rPr>
        <w:t>l, and U of M Campuses</w:t>
      </w:r>
    </w:p>
    <w:p w14:paraId="316068F6" w14:textId="579B273E" w:rsidR="10B8E344" w:rsidRPr="00B641B4" w:rsidRDefault="00000000" w:rsidP="008A3BD1">
      <w:pPr>
        <w:ind w:left="720" w:hanging="360"/>
        <w:rPr>
          <w:rFonts w:eastAsia="Arial" w:cs="Arial"/>
        </w:rPr>
      </w:pPr>
      <w:sdt>
        <w:sdtPr>
          <w:rPr>
            <w:rFonts w:eastAsia="Arial" w:cs="Arial"/>
          </w:rPr>
          <w:id w:val="347320433"/>
          <w14:checkbox>
            <w14:checked w14:val="0"/>
            <w14:checkedState w14:val="2612" w14:font="MS Gothic"/>
            <w14:uncheckedState w14:val="2610" w14:font="MS Gothic"/>
          </w14:checkbox>
        </w:sdtPr>
        <w:sdtContent>
          <w:r w:rsidR="6C1FE959" w:rsidRPr="009B4CB3">
            <w:rPr>
              <w:rFonts w:ascii="Segoe UI Symbol" w:eastAsia="Arial" w:hAnsi="Segoe UI Symbol" w:cs="Segoe UI Symbol"/>
            </w:rPr>
            <w:t>☐</w:t>
          </w:r>
        </w:sdtContent>
      </w:sdt>
      <w:r w:rsidR="009B4CB3">
        <w:rPr>
          <w:rFonts w:eastAsia="Arial" w:cs="Arial"/>
        </w:rPr>
        <w:tab/>
      </w:r>
      <w:r w:rsidR="6C1FE959" w:rsidRPr="122BEE4D">
        <w:rPr>
          <w:rFonts w:eastAsia="Arial" w:cs="Arial"/>
        </w:rPr>
        <w:t>Transitway Projects</w:t>
      </w:r>
    </w:p>
    <w:p w14:paraId="1F741E9D" w14:textId="763D4F49" w:rsidR="10B8E344" w:rsidRPr="00B641B4" w:rsidRDefault="00000000" w:rsidP="008A3BD1">
      <w:pPr>
        <w:ind w:left="720" w:hanging="360"/>
        <w:rPr>
          <w:rFonts w:eastAsia="Arial" w:cs="Arial"/>
        </w:rPr>
      </w:pPr>
      <w:sdt>
        <w:sdtPr>
          <w:rPr>
            <w:rFonts w:eastAsia="Arial" w:cs="Arial"/>
          </w:rPr>
          <w:id w:val="700787233"/>
          <w14:checkbox>
            <w14:checked w14:val="0"/>
            <w14:checkedState w14:val="2612" w14:font="MS Gothic"/>
            <w14:uncheckedState w14:val="2610" w14:font="MS Gothic"/>
          </w14:checkbox>
        </w:sdtPr>
        <w:sdtContent>
          <w:r w:rsidR="6C1FE959" w:rsidRPr="009B4CB3">
            <w:rPr>
              <w:rFonts w:ascii="Segoe UI Symbol" w:eastAsia="Arial" w:hAnsi="Segoe UI Symbol" w:cs="Segoe UI Symbol"/>
            </w:rPr>
            <w:t>☐</w:t>
          </w:r>
        </w:sdtContent>
      </w:sdt>
      <w:r w:rsidR="009B4CB3">
        <w:rPr>
          <w:rFonts w:eastAsia="Arial" w:cs="Arial"/>
        </w:rPr>
        <w:tab/>
      </w:r>
      <w:r w:rsidR="6C1FE959" w:rsidRPr="122BEE4D">
        <w:rPr>
          <w:rFonts w:eastAsia="Arial" w:cs="Arial"/>
        </w:rPr>
        <w:t>Urban and Suburban Local Routes and Suburb-to-Suburb Express Routes Only</w:t>
      </w:r>
    </w:p>
    <w:p w14:paraId="06670EE6" w14:textId="29179497" w:rsidR="10B8E344" w:rsidRPr="00B641B4" w:rsidRDefault="00000000" w:rsidP="008A3BD1">
      <w:pPr>
        <w:ind w:left="720" w:hanging="360"/>
        <w:rPr>
          <w:rFonts w:eastAsia="Arial" w:cs="Arial"/>
        </w:rPr>
      </w:pPr>
      <w:sdt>
        <w:sdtPr>
          <w:rPr>
            <w:rFonts w:eastAsia="Arial" w:cs="Arial"/>
          </w:rPr>
          <w:id w:val="713495857"/>
          <w14:checkbox>
            <w14:checked w14:val="0"/>
            <w14:checkedState w14:val="2612" w14:font="MS Gothic"/>
            <w14:uncheckedState w14:val="2610" w14:font="MS Gothic"/>
          </w14:checkbox>
        </w:sdtPr>
        <w:sdtContent>
          <w:r w:rsidR="6C1FE959" w:rsidRPr="009B4CB3">
            <w:rPr>
              <w:rFonts w:ascii="Segoe UI Symbol" w:eastAsia="Arial" w:hAnsi="Segoe UI Symbol" w:cs="Segoe UI Symbol"/>
            </w:rPr>
            <w:t>☐</w:t>
          </w:r>
        </w:sdtContent>
      </w:sdt>
      <w:r w:rsidR="009B4CB3">
        <w:rPr>
          <w:rFonts w:eastAsia="Arial" w:cs="Arial"/>
        </w:rPr>
        <w:tab/>
      </w:r>
      <w:r w:rsidR="6C1FE959" w:rsidRPr="122BEE4D">
        <w:rPr>
          <w:rFonts w:eastAsia="Arial" w:cs="Arial"/>
        </w:rPr>
        <w:t>Other</w:t>
      </w:r>
    </w:p>
    <w:p w14:paraId="1D158216" w14:textId="28DC769B" w:rsidR="10B8E344" w:rsidRPr="00B641B4" w:rsidRDefault="10B8E344" w:rsidP="122BEE4D">
      <w:pPr>
        <w:rPr>
          <w:rFonts w:eastAsia="Arial" w:cs="Arial"/>
        </w:rPr>
      </w:pPr>
      <w:r>
        <w:t>Estimated ridership:</w:t>
      </w:r>
      <w:r w:rsidR="004D257C" w:rsidRPr="00B641B4">
        <w:rPr>
          <w:rFonts w:eastAsia="Arial" w:cs="Arial"/>
        </w:rPr>
        <w:tab/>
      </w:r>
      <w:r w:rsidR="004D257C" w:rsidRPr="00B641B4">
        <w:rPr>
          <w:rFonts w:eastAsia="Arial" w:cs="Arial"/>
        </w:rPr>
        <w:tab/>
      </w:r>
      <w:r w:rsidR="004D257C" w:rsidRPr="00B641B4">
        <w:rPr>
          <w:rFonts w:eastAsia="Arial" w:cs="Arial"/>
        </w:rPr>
        <w:tab/>
      </w:r>
      <w:r w:rsidR="004D257C" w:rsidRPr="00B641B4">
        <w:rPr>
          <w:rFonts w:eastAsia="Arial" w:cs="Arial"/>
        </w:rPr>
        <w:tab/>
      </w:r>
      <w:r w:rsidR="00B429B8" w:rsidRPr="00B641B4">
        <w:rPr>
          <w:rFonts w:eastAsia="Arial" w:cs="Arial"/>
        </w:rPr>
        <w:tab/>
      </w:r>
      <w:r w:rsidR="00B429B8" w:rsidRPr="00B641B4">
        <w:rPr>
          <w:rFonts w:eastAsia="Arial" w:cs="Arial"/>
        </w:rPr>
        <w:tab/>
      </w:r>
      <w:r w:rsidR="00B429B8" w:rsidRPr="00B641B4">
        <w:rPr>
          <w:rFonts w:eastAsia="Arial" w:cs="Arial"/>
        </w:rPr>
        <w:tab/>
      </w:r>
    </w:p>
    <w:p w14:paraId="775C8D7C" w14:textId="58C5B76E" w:rsidR="10B8E344" w:rsidRPr="00B718F9" w:rsidRDefault="10B8E344" w:rsidP="00A072E3">
      <w:pPr>
        <w:pStyle w:val="ListBullet"/>
        <w:numPr>
          <w:ilvl w:val="0"/>
          <w:numId w:val="43"/>
        </w:numPr>
      </w:pPr>
      <w:r w:rsidRPr="00B718F9">
        <w:t xml:space="preserve">Estimated new ridership in third year of </w:t>
      </w:r>
      <w:r w:rsidR="00B641B4" w:rsidRPr="00B718F9">
        <w:t xml:space="preserve">service: </w:t>
      </w:r>
      <w:r w:rsidRPr="00B718F9">
        <w:t>_</w:t>
      </w:r>
    </w:p>
    <w:p w14:paraId="23A6C0EB" w14:textId="03254185" w:rsidR="10B8E344" w:rsidRPr="00B718F9" w:rsidRDefault="10B8E344" w:rsidP="00A072E3">
      <w:r w:rsidRPr="00B718F9">
        <w:t>Provide a brief narrative of the data and methodology you used to quantify the project's impac</w:t>
      </w:r>
      <w:r w:rsidR="002034CE">
        <w:t>t</w:t>
      </w:r>
      <w:r w:rsidR="00CF2DE3">
        <w:t xml:space="preserve"> (100 words or less)</w:t>
      </w:r>
      <w:r w:rsidR="002034CE">
        <w:t>: _</w:t>
      </w:r>
    </w:p>
    <w:p w14:paraId="48C84E94" w14:textId="12BDBEB6" w:rsidR="009035F0" w:rsidRPr="00B718F9" w:rsidRDefault="38659AF1" w:rsidP="009035F0">
      <w:pPr>
        <w:rPr>
          <w:b/>
          <w:bCs/>
        </w:rPr>
      </w:pPr>
      <w:r w:rsidRPr="00A072E3">
        <w:rPr>
          <w:b/>
          <w:bCs/>
        </w:rPr>
        <w:t xml:space="preserve">New </w:t>
      </w:r>
      <w:r w:rsidR="60199262" w:rsidRPr="00A072E3">
        <w:rPr>
          <w:b/>
          <w:bCs/>
        </w:rPr>
        <w:t xml:space="preserve">Facilities, </w:t>
      </w:r>
      <w:r w:rsidR="3BB9729C" w:rsidRPr="00A072E3">
        <w:rPr>
          <w:b/>
          <w:bCs/>
        </w:rPr>
        <w:t>Park-and-Rides and Express Routes Projects to Minneapolis</w:t>
      </w:r>
      <w:r w:rsidR="72CCD4E8" w:rsidRPr="00A072E3">
        <w:rPr>
          <w:b/>
          <w:bCs/>
        </w:rPr>
        <w:t>,</w:t>
      </w:r>
      <w:r w:rsidR="3BB9729C" w:rsidRPr="00A072E3">
        <w:rPr>
          <w:b/>
          <w:bCs/>
        </w:rPr>
        <w:t xml:space="preserve"> St. Paul</w:t>
      </w:r>
      <w:r w:rsidR="7EC6EE8F" w:rsidRPr="00A072E3">
        <w:rPr>
          <w:b/>
          <w:bCs/>
        </w:rPr>
        <w:t>, and U of M Campus</w:t>
      </w:r>
      <w:r w:rsidR="23DB0781" w:rsidRPr="00A072E3">
        <w:rPr>
          <w:b/>
          <w:bCs/>
        </w:rPr>
        <w:t>es</w:t>
      </w:r>
      <w:r w:rsidR="3BB9729C" w:rsidRPr="00A072E3">
        <w:rPr>
          <w:b/>
          <w:bCs/>
        </w:rPr>
        <w:t xml:space="preserve"> Only:</w:t>
      </w:r>
    </w:p>
    <w:p w14:paraId="477B51D7" w14:textId="11814B55" w:rsidR="009035F0" w:rsidRPr="00B718F9" w:rsidRDefault="009035F0" w:rsidP="009035F0">
      <w:r w:rsidRPr="00B718F9">
        <w:t xml:space="preserve">Use a technically </w:t>
      </w:r>
      <w:r w:rsidR="00E84906">
        <w:t>established</w:t>
      </w:r>
      <w:r w:rsidRPr="00B718F9">
        <w:t xml:space="preserve"> forecast methodology to estimate the third year of ridership. The ridership estimate should include only new transit users and should exclude transit riders that shift from an existing facility or service. Applicants must clearly describe the methodology and assumptions used to estimate annual ridership. </w:t>
      </w:r>
    </w:p>
    <w:p w14:paraId="60FF8948" w14:textId="22206A0A" w:rsidR="009035F0" w:rsidRPr="00B718F9" w:rsidRDefault="009035F0" w:rsidP="009035F0">
      <w:r>
        <w:t xml:space="preserve">The </w:t>
      </w:r>
      <w:r w:rsidR="5EC5A436">
        <w:t xml:space="preserve">following </w:t>
      </w:r>
      <w:r w:rsidR="5E8F27A0">
        <w:t xml:space="preserve">is a list of key factors that drive park-and-ride demand and </w:t>
      </w:r>
      <w:r w:rsidR="5EC5A436">
        <w:t xml:space="preserve">should be </w:t>
      </w:r>
      <w:r w:rsidR="21B981BD">
        <w:t>the basis for new rider estimates</w:t>
      </w:r>
      <w:r w:rsidR="5EC5A436">
        <w:t xml:space="preserve"> </w:t>
      </w:r>
      <w:r>
        <w:t>for new or expanded park-and-ride projects.</w:t>
      </w:r>
    </w:p>
    <w:p w14:paraId="5CCD598E" w14:textId="0A32B8A7" w:rsidR="009035F0" w:rsidRPr="00B718F9" w:rsidRDefault="709AEC46" w:rsidP="00A072E3">
      <w:pPr>
        <w:pStyle w:val="ListBullet"/>
        <w:numPr>
          <w:ilvl w:val="0"/>
          <w:numId w:val="43"/>
        </w:numPr>
        <w:rPr>
          <w:rFonts w:ascii="Segoe UI" w:eastAsia="Segoe UI" w:hAnsi="Segoe UI" w:cs="Segoe UI"/>
        </w:rPr>
      </w:pPr>
      <w:r w:rsidRPr="00DB6316">
        <w:t xml:space="preserve">Socioeconomic forecasts </w:t>
      </w:r>
    </w:p>
    <w:p w14:paraId="1E1C1157" w14:textId="01667D1C" w:rsidR="009035F0" w:rsidRPr="00B718F9" w:rsidRDefault="709AEC46" w:rsidP="00A072E3">
      <w:pPr>
        <w:pStyle w:val="ListBullet"/>
        <w:numPr>
          <w:ilvl w:val="0"/>
          <w:numId w:val="43"/>
        </w:numPr>
        <w:rPr>
          <w:rFonts w:ascii="Segoe UI" w:eastAsia="Segoe UI" w:hAnsi="Segoe UI" w:cs="Segoe UI"/>
        </w:rPr>
      </w:pPr>
      <w:r w:rsidRPr="00DB6316">
        <w:t xml:space="preserve">Commute patterns from Census data </w:t>
      </w:r>
    </w:p>
    <w:p w14:paraId="6322EF14" w14:textId="37E1E556" w:rsidR="009035F0" w:rsidRPr="00B718F9" w:rsidRDefault="709AEC46" w:rsidP="00A072E3">
      <w:pPr>
        <w:pStyle w:val="ListBullet"/>
        <w:numPr>
          <w:ilvl w:val="0"/>
          <w:numId w:val="43"/>
        </w:numPr>
        <w:rPr>
          <w:rFonts w:ascii="Segoe UI" w:eastAsia="Segoe UI" w:hAnsi="Segoe UI" w:cs="Segoe UI"/>
        </w:rPr>
      </w:pPr>
      <w:r w:rsidRPr="00DB6316">
        <w:t xml:space="preserve">Transit rider characteristics from a variety of survey data sources </w:t>
      </w:r>
    </w:p>
    <w:p w14:paraId="1E005D9E" w14:textId="39BCEAE1" w:rsidR="009035F0" w:rsidRPr="00B718F9" w:rsidRDefault="709AEC46" w:rsidP="00A072E3">
      <w:pPr>
        <w:pStyle w:val="ListBullet"/>
        <w:numPr>
          <w:ilvl w:val="0"/>
          <w:numId w:val="43"/>
        </w:numPr>
        <w:rPr>
          <w:rFonts w:ascii="Segoe UI" w:eastAsia="Segoe UI" w:hAnsi="Segoe UI" w:cs="Segoe UI"/>
        </w:rPr>
      </w:pPr>
      <w:r w:rsidRPr="00DB6316">
        <w:t xml:space="preserve">Downtown job growth and the overall distribution of jobs in the region </w:t>
      </w:r>
    </w:p>
    <w:p w14:paraId="37E3B5CE" w14:textId="7C12EE40" w:rsidR="009035F0" w:rsidRPr="00B718F9" w:rsidRDefault="709AEC46" w:rsidP="00A072E3">
      <w:pPr>
        <w:pStyle w:val="ListBullet"/>
        <w:numPr>
          <w:ilvl w:val="0"/>
          <w:numId w:val="43"/>
        </w:numPr>
        <w:rPr>
          <w:rFonts w:ascii="Segoe UI" w:eastAsia="Segoe UI" w:hAnsi="Segoe UI" w:cs="Segoe UI"/>
        </w:rPr>
      </w:pPr>
      <w:r w:rsidRPr="00DB6316">
        <w:t xml:space="preserve">Parking costs </w:t>
      </w:r>
    </w:p>
    <w:p w14:paraId="5C135703" w14:textId="7F2000D0" w:rsidR="009035F0" w:rsidRPr="00B718F9" w:rsidRDefault="709AEC46" w:rsidP="00A072E3">
      <w:pPr>
        <w:pStyle w:val="ListBullet"/>
        <w:numPr>
          <w:ilvl w:val="0"/>
          <w:numId w:val="43"/>
        </w:numPr>
        <w:rPr>
          <w:rFonts w:ascii="Segoe UI" w:eastAsia="Segoe UI" w:hAnsi="Segoe UI" w:cs="Segoe UI"/>
        </w:rPr>
      </w:pPr>
      <w:r w:rsidRPr="00DB6316">
        <w:t xml:space="preserve">Level of transit service, both during peak periods and in the midday </w:t>
      </w:r>
    </w:p>
    <w:p w14:paraId="4869867F" w14:textId="6D77511B" w:rsidR="009035F0" w:rsidRPr="00B718F9" w:rsidRDefault="709AEC46" w:rsidP="00A072E3">
      <w:pPr>
        <w:pStyle w:val="ListBullet"/>
        <w:numPr>
          <w:ilvl w:val="0"/>
          <w:numId w:val="43"/>
        </w:numPr>
      </w:pPr>
      <w:r w:rsidRPr="00DB6316">
        <w:t>Travel time to downtown Minneapolis or Saint Paul</w:t>
      </w:r>
      <w:r w:rsidR="76D3EA7F" w:rsidRPr="7AA524D3">
        <w:t xml:space="preserve"> or U of M campuses</w:t>
      </w:r>
    </w:p>
    <w:p w14:paraId="45CEFD3D" w14:textId="568EA9FA" w:rsidR="009035F0" w:rsidRPr="00B718F9" w:rsidRDefault="709AEC46" w:rsidP="00A072E3">
      <w:pPr>
        <w:pStyle w:val="ListBullet"/>
        <w:numPr>
          <w:ilvl w:val="0"/>
          <w:numId w:val="43"/>
        </w:numPr>
        <w:rPr>
          <w:rFonts w:ascii="Segoe UI" w:eastAsia="Segoe UI" w:hAnsi="Segoe UI" w:cs="Segoe UI"/>
        </w:rPr>
      </w:pPr>
      <w:r w:rsidRPr="00DB6316">
        <w:t xml:space="preserve">Travel time from user origins to potential park-and-ride facilities </w:t>
      </w:r>
    </w:p>
    <w:p w14:paraId="0D0893D7" w14:textId="47638836" w:rsidR="009035F0" w:rsidRPr="00B718F9" w:rsidRDefault="709AEC46" w:rsidP="00A072E3">
      <w:pPr>
        <w:pStyle w:val="ListBullet"/>
        <w:numPr>
          <w:ilvl w:val="0"/>
          <w:numId w:val="43"/>
        </w:numPr>
        <w:rPr>
          <w:rFonts w:ascii="Segoe UI" w:eastAsia="Segoe UI" w:hAnsi="Segoe UI" w:cs="Segoe UI"/>
        </w:rPr>
      </w:pPr>
      <w:r w:rsidRPr="00DB6316">
        <w:t>Available capacity at potential facilities</w:t>
      </w:r>
    </w:p>
    <w:p w14:paraId="464289BD" w14:textId="5090C8E4" w:rsidR="009035F0" w:rsidRPr="00B718F9" w:rsidRDefault="009035F0" w:rsidP="7AA524D3">
      <w:r w:rsidRPr="7AA524D3">
        <w:rPr>
          <w:b/>
          <w:bCs/>
        </w:rPr>
        <w:lastRenderedPageBreak/>
        <w:t>Note</w:t>
      </w:r>
      <w:r>
        <w:t xml:space="preserve">: Any </w:t>
      </w:r>
      <w:r w:rsidR="418CC2CD">
        <w:t>e</w:t>
      </w:r>
      <w:r>
        <w:t>xpress routes not going to these downtown areas should follow the peer route methodology described in the “For Urban and Suburban Local Routes and Suburb-to-Suburb Express Routes Only” section. </w:t>
      </w:r>
    </w:p>
    <w:p w14:paraId="01AAF7CC" w14:textId="47F02B82" w:rsidR="009035F0" w:rsidRPr="00B718F9" w:rsidRDefault="009035F0" w:rsidP="00C372F4">
      <w:pPr>
        <w:spacing w:after="0"/>
        <w:rPr>
          <w:b/>
          <w:bCs/>
        </w:rPr>
      </w:pPr>
      <w:r w:rsidRPr="00B718F9">
        <w:rPr>
          <w:b/>
          <w:bCs/>
        </w:rPr>
        <w:t>Transitways Projects Only:</w:t>
      </w:r>
    </w:p>
    <w:p w14:paraId="16F10250" w14:textId="73455AAD" w:rsidR="009035F0" w:rsidRPr="00B718F9" w:rsidRDefault="009035F0" w:rsidP="009035F0">
      <w:r>
        <w:t xml:space="preserve">Use </w:t>
      </w:r>
      <w:r w:rsidR="2D57EE95">
        <w:t>the</w:t>
      </w:r>
      <w:r>
        <w:t xml:space="preserve"> most recent forecast data (current or opening year) to estimate ridership for the third year of service. Forecast data for the transitway must be derived from a study or plan that uses data approved by Metropolitan Council staff. This includes the most up-to-date estimates from plans that have been already adopted. Describe the study or plan where the ridership is derived from and where the documentation can be found (provide weblinks, if available). </w:t>
      </w:r>
    </w:p>
    <w:p w14:paraId="36F26931" w14:textId="01D27EB3" w:rsidR="009035F0" w:rsidRPr="00B718F9" w:rsidRDefault="009035F0" w:rsidP="009035F0">
      <w:r w:rsidRPr="00B718F9">
        <w:rPr>
          <w:b/>
          <w:bCs/>
        </w:rPr>
        <w:t>Note</w:t>
      </w:r>
      <w:r w:rsidRPr="00B718F9">
        <w:t>: Transitways offer travel time advantages for transit vehicles, improve transit service reliability, and increase the convenience and attractiveness of transit service. Transitways are defined in the 20</w:t>
      </w:r>
      <w:r w:rsidR="009A5A48">
        <w:t>5</w:t>
      </w:r>
      <w:r w:rsidRPr="00B718F9">
        <w:t xml:space="preserve">0 Transportation Policy Plan to include commuter rail; light rail; highway, dedicated, and arterial bus rapid transit; and modern streetcar. Eligible transitway projects </w:t>
      </w:r>
      <w:r w:rsidR="004973AC">
        <w:t>must</w:t>
      </w:r>
      <w:r w:rsidRPr="00B718F9">
        <w:t xml:space="preserve"> have a mode and alignment identified </w:t>
      </w:r>
      <w:r w:rsidR="004973AC">
        <w:t xml:space="preserve">and recommended </w:t>
      </w:r>
      <w:r w:rsidRPr="00B718F9">
        <w:t>through a local process</w:t>
      </w:r>
      <w:r w:rsidR="004973AC">
        <w:t xml:space="preserve"> approved by a</w:t>
      </w:r>
      <w:r w:rsidR="001C1AB1">
        <w:t xml:space="preserve"> policy board</w:t>
      </w:r>
      <w:r w:rsidRPr="00B718F9">
        <w:t>. </w:t>
      </w:r>
      <w:r w:rsidR="001C1AB1">
        <w:t>Transitways projects that are not</w:t>
      </w:r>
      <w:r w:rsidR="00084CD1">
        <w:t xml:space="preserve"> in the 2050 Transportation Policy Plan</w:t>
      </w:r>
      <w:r w:rsidR="00D50CB9">
        <w:t>’s</w:t>
      </w:r>
      <w:r w:rsidR="00084CD1">
        <w:t xml:space="preserve"> fiscally constrained plan will also require a</w:t>
      </w:r>
      <w:r w:rsidR="000D33B3">
        <w:t xml:space="preserve">n </w:t>
      </w:r>
      <w:r w:rsidR="00084CD1">
        <w:t>amendment prior to receiving funds</w:t>
      </w:r>
      <w:r w:rsidR="00D50CB9">
        <w:t>, if selected</w:t>
      </w:r>
      <w:r w:rsidR="00084CD1">
        <w:t xml:space="preserve">. </w:t>
      </w:r>
    </w:p>
    <w:p w14:paraId="0CBA5B24" w14:textId="77777777" w:rsidR="009035F0" w:rsidRPr="00B718F9" w:rsidRDefault="009035F0" w:rsidP="00C372F4">
      <w:pPr>
        <w:spacing w:after="0"/>
        <w:rPr>
          <w:b/>
          <w:bCs/>
        </w:rPr>
      </w:pPr>
      <w:r w:rsidRPr="00B718F9">
        <w:rPr>
          <w:b/>
          <w:bCs/>
        </w:rPr>
        <w:t>Urban and Suburban Local Routes and Suburb-to-Suburb Express Routes Only: </w:t>
      </w:r>
    </w:p>
    <w:p w14:paraId="64471B7D" w14:textId="0F906D3D" w:rsidR="009035F0" w:rsidRPr="00B718F9" w:rsidRDefault="009035F0" w:rsidP="009035F0">
      <w:r w:rsidRPr="00B718F9">
        <w:t xml:space="preserve">Use peer routes that are currently in service to develop a ridership estimate for the third year of service. To select the peer routes, the applicant should identify routes in the same </w:t>
      </w:r>
      <w:r w:rsidR="00D50CB9">
        <w:t>T</w:t>
      </w:r>
      <w:r w:rsidRPr="00B718F9">
        <w:t xml:space="preserve">ransit </w:t>
      </w:r>
      <w:r w:rsidR="00D50CB9">
        <w:t>M</w:t>
      </w:r>
      <w:r w:rsidRPr="00B718F9">
        <w:t xml:space="preserve">arket </w:t>
      </w:r>
      <w:r w:rsidR="00D50CB9">
        <w:t>A</w:t>
      </w:r>
      <w:r w:rsidRPr="00B718F9">
        <w:t>rea (as defined in the 20</w:t>
      </w:r>
      <w:r w:rsidR="00D50CB9">
        <w:t>5</w:t>
      </w:r>
      <w:r w:rsidRPr="00B718F9">
        <w:t xml:space="preserve">0 Transportation Policy Plan), or routes that serve locations with similar </w:t>
      </w:r>
      <w:r w:rsidR="00D50CB9">
        <w:t xml:space="preserve">land use and </w:t>
      </w:r>
      <w:r w:rsidRPr="00B718F9">
        <w:t xml:space="preserve">development patterns. Applicants must use the average passengers per service hour of at least three peer routes to apply a </w:t>
      </w:r>
      <w:r w:rsidR="00FA4440" w:rsidRPr="00B718F9">
        <w:t>ridership rate</w:t>
      </w:r>
      <w:r w:rsidRPr="00B718F9">
        <w:t xml:space="preserve"> for the proposed service project. The route proposed for expansion and all three routes must use the same year’s annual ridership. Additionally, describe how a peer route was selected in the response and any assumptions used. The applicant must also explain why they chose a given year for their forecast. </w:t>
      </w:r>
    </w:p>
    <w:p w14:paraId="7F6E2364" w14:textId="77777777" w:rsidR="009035F0" w:rsidRPr="00450499" w:rsidRDefault="009035F0" w:rsidP="00153CDB">
      <w:pPr>
        <w:pStyle w:val="Heading4"/>
      </w:pPr>
      <w:r w:rsidRPr="00450499">
        <w:t>Scoring Guidance</w:t>
      </w:r>
    </w:p>
    <w:p w14:paraId="088FD8F9" w14:textId="37D7826A" w:rsidR="009035F0" w:rsidRPr="00B718F9" w:rsidRDefault="009035F0" w:rsidP="009035F0">
      <w:pPr>
        <w:rPr>
          <w:rFonts w:eastAsia="MS PGothic" w:cs="Arial"/>
          <w:i/>
          <w:iCs/>
          <w:kern w:val="32"/>
          <w:sz w:val="28"/>
          <w:szCs w:val="28"/>
        </w:rPr>
      </w:pPr>
      <w:r w:rsidRPr="00B718F9">
        <w:t xml:space="preserve">The applicant with the highest new annual ridership will receive full points. </w:t>
      </w:r>
      <w:r w:rsidR="00262C1E">
        <w:t>The r</w:t>
      </w:r>
      <w:r w:rsidRPr="00B718F9">
        <w:t>emaining projects will receive a proportiona</w:t>
      </w:r>
      <w:r w:rsidR="006C7E0B">
        <w:t>l</w:t>
      </w:r>
      <w:r w:rsidRPr="00B718F9">
        <w:t xml:space="preserve"> share of the full points. Points should be deducted if </w:t>
      </w:r>
      <w:r w:rsidR="7C7D5122" w:rsidRPr="00B718F9">
        <w:t>no</w:t>
      </w:r>
      <w:r w:rsidRPr="00B718F9">
        <w:t xml:space="preserve"> methodology is provided or </w:t>
      </w:r>
      <w:r w:rsidR="00C34796">
        <w:t xml:space="preserve">if </w:t>
      </w:r>
      <w:r w:rsidRPr="00B718F9">
        <w:t xml:space="preserve">the methodology is not </w:t>
      </w:r>
      <w:r w:rsidR="006C3FD0">
        <w:t>established</w:t>
      </w:r>
      <w:r w:rsidRPr="00B718F9">
        <w:t>.</w:t>
      </w:r>
    </w:p>
    <w:p w14:paraId="303FE7EF" w14:textId="60DCF4A8" w:rsidR="00A64950" w:rsidRPr="00D068AB" w:rsidRDefault="0084451D" w:rsidP="00B127AB">
      <w:pPr>
        <w:pStyle w:val="Heading2"/>
      </w:pPr>
      <w:r>
        <w:t xml:space="preserve">New </w:t>
      </w:r>
      <w:r w:rsidR="637811BF">
        <w:t>C</w:t>
      </w:r>
      <w:r>
        <w:t>overage</w:t>
      </w:r>
    </w:p>
    <w:p w14:paraId="62C8B5FB" w14:textId="1089BEDC" w:rsidR="58D16DA5" w:rsidRPr="00B718F9" w:rsidRDefault="58D16DA5" w:rsidP="136EC1FB">
      <w:pPr>
        <w:spacing w:line="259" w:lineRule="auto"/>
      </w:pPr>
      <w:r w:rsidRPr="00B718F9">
        <w:t xml:space="preserve">This criterion measures the project’s impact by </w:t>
      </w:r>
      <w:r w:rsidR="07A7F3D6" w:rsidRPr="00B718F9">
        <w:t>measur</w:t>
      </w:r>
      <w:r w:rsidRPr="00B718F9">
        <w:t xml:space="preserve">ing the number of </w:t>
      </w:r>
      <w:r w:rsidR="03148B5C" w:rsidRPr="00B718F9">
        <w:t>residents in an area</w:t>
      </w:r>
      <w:r w:rsidRPr="00B718F9">
        <w:t xml:space="preserve"> impacted by </w:t>
      </w:r>
      <w:r w:rsidR="7D38F1E9" w:rsidRPr="00B718F9">
        <w:t xml:space="preserve">the </w:t>
      </w:r>
      <w:r w:rsidRPr="00B718F9">
        <w:t>new hours of transit service</w:t>
      </w:r>
      <w:r w:rsidR="006C3007">
        <w:t xml:space="preserve"> or the </w:t>
      </w:r>
      <w:r w:rsidR="000611D4">
        <w:t xml:space="preserve">number of residents impacted by </w:t>
      </w:r>
      <w:r w:rsidR="009A728C">
        <w:t>a new or expanded facility</w:t>
      </w:r>
      <w:r w:rsidRPr="00B718F9">
        <w:t>.</w:t>
      </w:r>
    </w:p>
    <w:p w14:paraId="130ADADD" w14:textId="144A14CD" w:rsidR="00B718F9" w:rsidRPr="0073463F" w:rsidRDefault="00B718F9" w:rsidP="00A072E3">
      <w:pPr>
        <w:pStyle w:val="Heading3"/>
        <w:numPr>
          <w:ilvl w:val="0"/>
          <w:numId w:val="32"/>
        </w:numPr>
      </w:pPr>
      <w:r>
        <w:t>Service Hours by Population within Service Area</w:t>
      </w:r>
    </w:p>
    <w:p w14:paraId="08310EFF" w14:textId="2B46DFBA" w:rsidR="3FA2789D" w:rsidRPr="0073463F" w:rsidRDefault="1436AFBF" w:rsidP="00A072E3">
      <w:pPr>
        <w:spacing w:line="259" w:lineRule="auto"/>
      </w:pPr>
      <w:r>
        <w:t xml:space="preserve">The Service Hours by Population within Service </w:t>
      </w:r>
      <w:r w:rsidR="6115374C">
        <w:t>Area measure</w:t>
      </w:r>
      <w:r w:rsidR="00F267B9">
        <w:t>s</w:t>
      </w:r>
      <w:r w:rsidR="6115374C">
        <w:t xml:space="preserve"> the people impacted by the new service or facility.</w:t>
      </w:r>
    </w:p>
    <w:p w14:paraId="535394DA" w14:textId="46CC9C0C" w:rsidR="3FA2789D" w:rsidRPr="0073463F" w:rsidRDefault="3FA2789D" w:rsidP="00A072E3">
      <w:pPr>
        <w:pStyle w:val="ListBullet"/>
        <w:numPr>
          <w:ilvl w:val="0"/>
          <w:numId w:val="44"/>
        </w:numPr>
      </w:pPr>
      <w:r>
        <w:t xml:space="preserve">Population within service </w:t>
      </w:r>
      <w:r w:rsidR="0073463F">
        <w:t>area</w:t>
      </w:r>
      <w:r w:rsidR="1E0ACA3D">
        <w:t xml:space="preserve"> (include new coverage from new/expanded facilities</w:t>
      </w:r>
      <w:r w:rsidR="2E66E948">
        <w:t>, if applicable</w:t>
      </w:r>
      <w:r w:rsidR="1E0ACA3D">
        <w:t>)</w:t>
      </w:r>
      <w:r w:rsidR="0073463F">
        <w:t xml:space="preserve">: </w:t>
      </w:r>
      <w:r>
        <w:t>_</w:t>
      </w:r>
    </w:p>
    <w:p w14:paraId="4024A633" w14:textId="328B6408" w:rsidR="3FA2789D" w:rsidRPr="0073463F" w:rsidRDefault="3A57717A" w:rsidP="00A072E3">
      <w:pPr>
        <w:pStyle w:val="ListBullet"/>
        <w:numPr>
          <w:ilvl w:val="0"/>
          <w:numId w:val="44"/>
        </w:numPr>
      </w:pPr>
      <w:r>
        <w:t>H</w:t>
      </w:r>
      <w:r w:rsidR="3FA2789D">
        <w:t>ours of service</w:t>
      </w:r>
      <w:r w:rsidR="112FCA4C">
        <w:t xml:space="preserve"> (include</w:t>
      </w:r>
      <w:r w:rsidR="499C09A0">
        <w:t xml:space="preserve"> new coverage from new/expanded service hours, if applicable)</w:t>
      </w:r>
      <w:r w:rsidR="3FA2789D">
        <w:t>: _</w:t>
      </w:r>
    </w:p>
    <w:p w14:paraId="27B1C81A" w14:textId="2C1D2262" w:rsidR="3FA2789D" w:rsidRPr="0073463F" w:rsidRDefault="3FA2789D" w:rsidP="00A072E3">
      <w:pPr>
        <w:pStyle w:val="ListBullet"/>
        <w:numPr>
          <w:ilvl w:val="0"/>
          <w:numId w:val="44"/>
        </w:numPr>
      </w:pPr>
      <w:r>
        <w:t>Population within service area multiplied by new hours of service</w:t>
      </w:r>
      <w:r w:rsidR="00B429B8">
        <w:t xml:space="preserve"> (divided by 100)</w:t>
      </w:r>
      <w:r>
        <w:t>: _</w:t>
      </w:r>
    </w:p>
    <w:p w14:paraId="57AE71E2" w14:textId="2EEA3390" w:rsidR="3FA2789D" w:rsidRPr="0073463F" w:rsidRDefault="769AA1DA" w:rsidP="136EC1FB">
      <w:pPr>
        <w:spacing w:line="259" w:lineRule="auto"/>
      </w:pPr>
      <w:r w:rsidRPr="660AED85">
        <w:rPr>
          <w:b/>
          <w:bCs/>
        </w:rPr>
        <w:t>Notes:</w:t>
      </w:r>
      <w:r>
        <w:t xml:space="preserve"> </w:t>
      </w:r>
      <w:r w:rsidR="449C59AD">
        <w:t>The project’s s</w:t>
      </w:r>
      <w:r>
        <w:t xml:space="preserve">ervice area is defined as within </w:t>
      </w:r>
      <w:r w:rsidR="04233CC6">
        <w:t xml:space="preserve">½ </w:t>
      </w:r>
      <w:r>
        <w:t xml:space="preserve">mile of stops for </w:t>
      </w:r>
      <w:r w:rsidR="564DAEF3">
        <w:t>all types of transit service</w:t>
      </w:r>
      <w:r>
        <w:t xml:space="preserve">. </w:t>
      </w:r>
      <w:r w:rsidR="5893BC3E">
        <w:t xml:space="preserve">For microtransit, the </w:t>
      </w:r>
      <w:proofErr w:type="gramStart"/>
      <w:r w:rsidR="6A32FF1B">
        <w:t>full</w:t>
      </w:r>
      <w:r w:rsidR="326F1633">
        <w:t xml:space="preserve"> </w:t>
      </w:r>
      <w:r w:rsidR="6A32FF1B">
        <w:t>service</w:t>
      </w:r>
      <w:proofErr w:type="gramEnd"/>
      <w:r w:rsidR="5893BC3E">
        <w:t xml:space="preserve"> area may be </w:t>
      </w:r>
      <w:proofErr w:type="gramStart"/>
      <w:r w:rsidR="0EEBAF67">
        <w:t>included</w:t>
      </w:r>
      <w:r w:rsidR="39616D1F">
        <w:t>,</w:t>
      </w:r>
      <w:r w:rsidR="0EEBAF67">
        <w:t xml:space="preserve"> but</w:t>
      </w:r>
      <w:proofErr w:type="gramEnd"/>
      <w:r w:rsidR="4440F233">
        <w:t xml:space="preserve"> not connecting zones</w:t>
      </w:r>
      <w:r w:rsidR="5893BC3E">
        <w:t>.</w:t>
      </w:r>
      <w:r w:rsidR="26A394ED">
        <w:t xml:space="preserve"> For existing routes that </w:t>
      </w:r>
      <w:r w:rsidR="26A394ED">
        <w:lastRenderedPageBreak/>
        <w:t>are being extended</w:t>
      </w:r>
      <w:r w:rsidR="5F877D59">
        <w:t xml:space="preserve"> or restructured, include only the newly served populations (subtract the population of the existing service area from the new total). </w:t>
      </w:r>
      <w:r>
        <w:t>Use population data from the most recent</w:t>
      </w:r>
      <w:r w:rsidR="5B47A4FC">
        <w:t>ly available</w:t>
      </w:r>
      <w:r>
        <w:t xml:space="preserve"> </w:t>
      </w:r>
      <w:r w:rsidR="34430CCA">
        <w:t>U.S. Census</w:t>
      </w:r>
      <w:r w:rsidR="0FF9B888">
        <w:t xml:space="preserve"> year</w:t>
      </w:r>
      <w:r w:rsidR="0A8B0F52">
        <w:t xml:space="preserve"> (American Community Survey)</w:t>
      </w:r>
      <w:r w:rsidR="34430CCA">
        <w:t>.</w:t>
      </w:r>
    </w:p>
    <w:p w14:paraId="3A460D27" w14:textId="5B05BB65" w:rsidR="22328649" w:rsidRPr="0073463F" w:rsidRDefault="22328649" w:rsidP="136EC1FB">
      <w:pPr>
        <w:spacing w:line="259" w:lineRule="auto"/>
        <w:rPr>
          <w:highlight w:val="yellow"/>
        </w:rPr>
      </w:pPr>
      <w:r w:rsidRPr="0073463F">
        <w:t xml:space="preserve">New hours of service are defined as the number of hours in a week that the service </w:t>
      </w:r>
      <w:r w:rsidR="00154AA2" w:rsidRPr="0073463F">
        <w:t>operates</w:t>
      </w:r>
      <w:r w:rsidRPr="0073463F">
        <w:t xml:space="preserve"> that it was</w:t>
      </w:r>
      <w:r w:rsidR="00D41749">
        <w:t xml:space="preserve"> not</w:t>
      </w:r>
      <w:r w:rsidRPr="0073463F">
        <w:t xml:space="preserve"> previously</w:t>
      </w:r>
      <w:r w:rsidR="00ED3E7E">
        <w:t xml:space="preserve"> operating</w:t>
      </w:r>
      <w:r w:rsidRPr="0073463F">
        <w:t>.</w:t>
      </w:r>
    </w:p>
    <w:p w14:paraId="00292732" w14:textId="474F4310" w:rsidR="528B9A37" w:rsidRPr="0073463F" w:rsidRDefault="25A657D0">
      <w:r>
        <w:t>Provide a brief narrative (100 words</w:t>
      </w:r>
      <w:r w:rsidR="00815201">
        <w:t xml:space="preserve"> or less</w:t>
      </w:r>
      <w:r>
        <w:t xml:space="preserve">) of the data and methodology you used to quantify the </w:t>
      </w:r>
      <w:r w:rsidR="00F407FA">
        <w:t>population within the service area</w:t>
      </w:r>
      <w:r>
        <w:t>: _</w:t>
      </w:r>
    </w:p>
    <w:p w14:paraId="577F4407" w14:textId="77777777" w:rsidR="0084451D" w:rsidRPr="00450499" w:rsidRDefault="0084451D" w:rsidP="00153CDB">
      <w:pPr>
        <w:pStyle w:val="Heading4"/>
      </w:pPr>
      <w:r w:rsidRPr="00450499">
        <w:t>Scoring Guidance</w:t>
      </w:r>
    </w:p>
    <w:p w14:paraId="214EEE50" w14:textId="2954727A" w:rsidR="4B1B5B74" w:rsidRPr="0073463F" w:rsidRDefault="4B1B5B74" w:rsidP="0073463F">
      <w:pPr>
        <w:rPr>
          <w:rFonts w:eastAsia="MS PGothic" w:cs="Arial"/>
          <w:i/>
          <w:iCs/>
          <w:sz w:val="28"/>
          <w:szCs w:val="28"/>
        </w:rPr>
      </w:pPr>
      <w:r w:rsidRPr="0073463F">
        <w:t xml:space="preserve">The applicant with the highest calculated value will receive full points. </w:t>
      </w:r>
      <w:r w:rsidR="00262C1E" w:rsidRPr="0073463F">
        <w:t>The remaining</w:t>
      </w:r>
      <w:r w:rsidRPr="0073463F">
        <w:t xml:space="preserve"> projects will receive a proportiona</w:t>
      </w:r>
      <w:r w:rsidR="006C7E0B">
        <w:t>l</w:t>
      </w:r>
      <w:r w:rsidRPr="0073463F">
        <w:t xml:space="preserve"> share of the full points. Points should be deducted if no methodology is provided or the methodology is not </w:t>
      </w:r>
      <w:r w:rsidR="000A1BA6">
        <w:t>established</w:t>
      </w:r>
      <w:r w:rsidRPr="0073463F">
        <w:t>.</w:t>
      </w:r>
    </w:p>
    <w:p w14:paraId="392AD726" w14:textId="0A345990" w:rsidR="00A64950" w:rsidRPr="007D4D2F" w:rsidRDefault="0084451D" w:rsidP="00B127AB">
      <w:pPr>
        <w:pStyle w:val="Heading2"/>
      </w:pPr>
      <w:r w:rsidRPr="007D4D2F">
        <w:t>Connections to</w:t>
      </w:r>
      <w:r w:rsidR="003F7E0A" w:rsidRPr="007D4D2F">
        <w:t xml:space="preserve"> </w:t>
      </w:r>
      <w:r w:rsidR="0680973C" w:rsidRPr="007D4D2F">
        <w:t>Key</w:t>
      </w:r>
      <w:r w:rsidRPr="007D4D2F">
        <w:t xml:space="preserve"> </w:t>
      </w:r>
      <w:r w:rsidR="51691CD0" w:rsidRPr="007D4D2F">
        <w:t>D</w:t>
      </w:r>
      <w:r w:rsidRPr="007D4D2F">
        <w:t>estinations</w:t>
      </w:r>
    </w:p>
    <w:p w14:paraId="07C7BD5E" w14:textId="77777777" w:rsidR="007D4D2F" w:rsidRPr="00186A04" w:rsidRDefault="007D4D2F" w:rsidP="00D8790A">
      <w:r w:rsidRPr="00186A04">
        <w:t xml:space="preserve">This criterion measures the project’s ability to serve a transportation purpose by connecting users to key local destinations. </w:t>
      </w:r>
    </w:p>
    <w:p w14:paraId="14B86D15" w14:textId="77777777" w:rsidR="007D4D2F" w:rsidRPr="00186A04" w:rsidRDefault="007D4D2F" w:rsidP="007D4D2F">
      <w:pPr>
        <w:pStyle w:val="Heading3"/>
        <w:numPr>
          <w:ilvl w:val="0"/>
          <w:numId w:val="0"/>
        </w:numPr>
        <w:ind w:left="360" w:hanging="360"/>
      </w:pPr>
      <w:r>
        <w:t xml:space="preserve">Connection to Key Destinations </w:t>
      </w:r>
    </w:p>
    <w:p w14:paraId="023D7F5F" w14:textId="77777777" w:rsidR="007D4D2F" w:rsidRDefault="007D4D2F" w:rsidP="007D4D2F">
      <w:r>
        <w:t xml:space="preserve">Attach a map that clearly identifies key destinations within ½ mile of the project limits. Key destinations may include destinations important to the local community, including (but not limited to) banks, post offices, high-frequency transit stations, childcare centers, grocery stores, medical centers, office parks, pharmacies, places of worship, public libraries, public parks, schools, universities, or colleges. Other destinations may be included with an explanation as to their importance to the local community. </w:t>
      </w:r>
    </w:p>
    <w:p w14:paraId="0C4C1098" w14:textId="77777777" w:rsidR="007D4D2F" w:rsidRPr="00C106EA" w:rsidRDefault="007D4D2F" w:rsidP="007D4D2F">
      <w:r>
        <w:t>Upload that map, along with a written response (300 words or less) that highlights the key destinations served and their importance to the local community.</w:t>
      </w:r>
    </w:p>
    <w:p w14:paraId="5D2549B9" w14:textId="77777777" w:rsidR="007D4D2F" w:rsidRDefault="007D4D2F" w:rsidP="007D4D2F">
      <w:r>
        <w:t xml:space="preserve">If the project does not directly serve any key destinations but facilitates an important connection to a destination more than ½ mile from the project, please explain. </w:t>
      </w:r>
    </w:p>
    <w:p w14:paraId="7A8A1902" w14:textId="77777777" w:rsidR="007D4D2F" w:rsidRDefault="007D4D2F" w:rsidP="007D4D2F">
      <w:pPr>
        <w:pStyle w:val="Heading4"/>
      </w:pPr>
      <w:r>
        <w:t>Scoring Guidance</w:t>
      </w:r>
    </w:p>
    <w:p w14:paraId="1EEE5857" w14:textId="3B7CEB56" w:rsidR="007D4D2F" w:rsidRPr="001D3A6C" w:rsidRDefault="007D4D2F" w:rsidP="007D4D2F">
      <w:r>
        <w:t xml:space="preserve">Consider the information and narrative provided by the applicant and rate projects based on the benchmarks provided below. Projects may be rated at any point along the scale based on their performance against the stated </w:t>
      </w:r>
      <w:r w:rsidR="00925752">
        <w:t>guidance</w:t>
      </w:r>
      <w:r>
        <w:t>.</w:t>
      </w:r>
    </w:p>
    <w:p w14:paraId="38BFC9C3" w14:textId="77777777" w:rsidR="007D4D2F" w:rsidRPr="001D3A6C" w:rsidRDefault="007D4D2F" w:rsidP="007D4D2F">
      <w:pPr>
        <w:pStyle w:val="ListParagraph"/>
        <w:numPr>
          <w:ilvl w:val="0"/>
          <w:numId w:val="51"/>
        </w:numPr>
      </w:pPr>
      <w:r w:rsidRPr="6317142A">
        <w:rPr>
          <w:b/>
          <w:bCs/>
        </w:rPr>
        <w:t>High:</w:t>
      </w:r>
      <w:r>
        <w:t xml:space="preserve"> The highest rated projects in this measure will make a strong case about how the project will significantly increase access to key destinations. This may include providing new connections and/or improvements to existing connections. The narrative should also explain why the destinations are critical to the community and/or region. </w:t>
      </w:r>
    </w:p>
    <w:p w14:paraId="30AC149C" w14:textId="77777777" w:rsidR="007D4D2F" w:rsidRPr="00BD7EC9" w:rsidRDefault="007D4D2F" w:rsidP="007D4D2F">
      <w:pPr>
        <w:pStyle w:val="ListParagraph"/>
        <w:numPr>
          <w:ilvl w:val="0"/>
          <w:numId w:val="51"/>
        </w:numPr>
        <w:rPr>
          <w:b/>
          <w:bCs/>
        </w:rPr>
      </w:pPr>
      <w:r w:rsidRPr="0DC41CA0">
        <w:rPr>
          <w:b/>
          <w:bCs/>
        </w:rPr>
        <w:t xml:space="preserve">Medium-High </w:t>
      </w:r>
    </w:p>
    <w:p w14:paraId="549F652F" w14:textId="77777777" w:rsidR="007D4D2F" w:rsidRDefault="007D4D2F" w:rsidP="007D4D2F">
      <w:pPr>
        <w:pStyle w:val="ListParagraph"/>
        <w:numPr>
          <w:ilvl w:val="0"/>
          <w:numId w:val="51"/>
        </w:numPr>
      </w:pPr>
      <w:r w:rsidRPr="2C37EEAE">
        <w:rPr>
          <w:b/>
          <w:bCs/>
        </w:rPr>
        <w:t xml:space="preserve">Medium: </w:t>
      </w:r>
      <w:r>
        <w:t xml:space="preserve">Mid-range projects in this measure may minimally increase access to key destinations by only connecting to a few destinations and/or providing small improvements to existing connections. Differentiation among these projects should consider how many destinations are connected, the importance of the destinations to the community and/or region, and the level of increased access as provided in the narrative.  </w:t>
      </w:r>
    </w:p>
    <w:p w14:paraId="01F9A4FA" w14:textId="77777777" w:rsidR="007D4D2F" w:rsidRPr="00BD7EC9" w:rsidRDefault="007D4D2F" w:rsidP="007D4D2F">
      <w:pPr>
        <w:pStyle w:val="ListParagraph"/>
        <w:numPr>
          <w:ilvl w:val="0"/>
          <w:numId w:val="51"/>
        </w:numPr>
        <w:rPr>
          <w:b/>
          <w:bCs/>
        </w:rPr>
      </w:pPr>
      <w:r w:rsidRPr="443BB003">
        <w:rPr>
          <w:b/>
          <w:bCs/>
        </w:rPr>
        <w:t xml:space="preserve">Medium-Low </w:t>
      </w:r>
    </w:p>
    <w:p w14:paraId="613AC9AF" w14:textId="34365EC0" w:rsidR="007D4D2F" w:rsidRDefault="007D4D2F" w:rsidP="007D4D2F">
      <w:pPr>
        <w:pStyle w:val="ListParagraph"/>
        <w:numPr>
          <w:ilvl w:val="0"/>
          <w:numId w:val="51"/>
        </w:numPr>
      </w:pPr>
      <w:r w:rsidRPr="443BB003">
        <w:rPr>
          <w:b/>
          <w:bCs/>
        </w:rPr>
        <w:lastRenderedPageBreak/>
        <w:t>Low</w:t>
      </w:r>
      <w:r>
        <w:rPr>
          <w:b/>
          <w:bCs/>
        </w:rPr>
        <w:t xml:space="preserve">: </w:t>
      </w:r>
      <w:r>
        <w:t xml:space="preserve">Projects that have minimal destinations within the project area or do not create safe connections to those destinations should receive minimal points for this </w:t>
      </w:r>
      <w:r w:rsidR="00925752">
        <w:t>measure</w:t>
      </w:r>
      <w:r>
        <w:t>. Consider whether the project adds new connections and/or improves existing connections when making this assessment. </w:t>
      </w:r>
    </w:p>
    <w:p w14:paraId="275827A1" w14:textId="77777777" w:rsidR="007D4D2F" w:rsidRPr="00BB1C25" w:rsidRDefault="007D4D2F" w:rsidP="007D4D2F">
      <w:pPr>
        <w:pStyle w:val="ListParagraph"/>
        <w:numPr>
          <w:ilvl w:val="0"/>
          <w:numId w:val="51"/>
        </w:numPr>
      </w:pPr>
      <w:r w:rsidRPr="6317142A">
        <w:rPr>
          <w:b/>
          <w:bCs/>
        </w:rPr>
        <w:t xml:space="preserve">Non-responsive/Not relevant: </w:t>
      </w:r>
      <w:r>
        <w:t>Projects that do not create any new connections, do not have any destinations within the project area, or do not provide adequate information should receive zero points for this measure.</w:t>
      </w:r>
    </w:p>
    <w:p w14:paraId="7C58AEAF" w14:textId="75AF3B63" w:rsidR="00CA32C7" w:rsidRPr="00D068AB" w:rsidRDefault="0084451D" w:rsidP="00B127AB">
      <w:pPr>
        <w:pStyle w:val="Heading2"/>
      </w:pPr>
      <w:r>
        <w:t xml:space="preserve">Transit </w:t>
      </w:r>
      <w:r w:rsidR="3BA9D776">
        <w:t>N</w:t>
      </w:r>
      <w:r>
        <w:t xml:space="preserve">eeds-based </w:t>
      </w:r>
      <w:r w:rsidR="1B071EC1">
        <w:t>D</w:t>
      </w:r>
      <w:r>
        <w:t>etermination</w:t>
      </w:r>
    </w:p>
    <w:p w14:paraId="7AD57138" w14:textId="6EFCA4D0" w:rsidR="0084451D" w:rsidRPr="00D068AB" w:rsidRDefault="00F72DE9" w:rsidP="0084451D">
      <w:r>
        <w:t xml:space="preserve">This criterion measures the project’s </w:t>
      </w:r>
      <w:r w:rsidR="0076697A">
        <w:t xml:space="preserve">impact </w:t>
      </w:r>
      <w:r w:rsidR="1945FF4A">
        <w:t>on</w:t>
      </w:r>
      <w:r w:rsidR="0076697A">
        <w:t xml:space="preserve"> areas of high transit need</w:t>
      </w:r>
      <w:r w:rsidR="00036E41">
        <w:t xml:space="preserve">, based on </w:t>
      </w:r>
      <w:r w:rsidR="00EF4161">
        <w:t>demographic data</w:t>
      </w:r>
      <w:r w:rsidR="00FB6C56">
        <w:t xml:space="preserve"> and roadway delay and reliability performance</w:t>
      </w:r>
      <w:r w:rsidR="00036E41">
        <w:t>.</w:t>
      </w:r>
    </w:p>
    <w:p w14:paraId="69CDF39E" w14:textId="1BEB9892" w:rsidR="000820D4" w:rsidRDefault="000820D4" w:rsidP="000820D4">
      <w:pPr>
        <w:pStyle w:val="Heading3"/>
        <w:numPr>
          <w:ilvl w:val="0"/>
          <w:numId w:val="25"/>
        </w:numPr>
      </w:pPr>
      <w:r>
        <w:t>Demographic and Roadway Delay/Reliability Data</w:t>
      </w:r>
    </w:p>
    <w:p w14:paraId="794B8E9A" w14:textId="114D9EB3" w:rsidR="0084451D" w:rsidRDefault="0076697A" w:rsidP="0084451D">
      <w:r>
        <w:t>Check which characteristics of high transit need the project will address:</w:t>
      </w:r>
    </w:p>
    <w:p w14:paraId="3CF33CE2" w14:textId="0EFAC580" w:rsidR="20BCED75" w:rsidRDefault="20BCED75" w:rsidP="136EC1FB">
      <w:pPr>
        <w:rPr>
          <w:b/>
          <w:bCs/>
        </w:rPr>
      </w:pPr>
      <w:r w:rsidRPr="136EC1FB">
        <w:rPr>
          <w:b/>
          <w:bCs/>
        </w:rPr>
        <w:t>Demographic Data</w:t>
      </w:r>
    </w:p>
    <w:p w14:paraId="489DEEA1" w14:textId="21F5292E" w:rsidR="00C76399" w:rsidRDefault="00000000" w:rsidP="00613A5B">
      <w:pPr>
        <w:spacing w:after="0"/>
        <w:ind w:left="720" w:hanging="360"/>
        <w:rPr>
          <w:rFonts w:eastAsia="Arial" w:cs="Arial"/>
        </w:rPr>
      </w:pPr>
      <w:sdt>
        <w:sdtPr>
          <w:rPr>
            <w:rFonts w:eastAsia="Arial" w:cs="Arial"/>
          </w:rPr>
          <w:id w:val="-1995409133"/>
          <w14:checkbox>
            <w14:checked w14:val="0"/>
            <w14:checkedState w14:val="2612" w14:font="MS Gothic"/>
            <w14:uncheckedState w14:val="2610" w14:font="MS Gothic"/>
          </w14:checkbox>
        </w:sdtPr>
        <w:sdtContent>
          <w:r w:rsidR="000820D4" w:rsidRPr="00DF3B56">
            <w:rPr>
              <w:rFonts w:ascii="Segoe UI Symbol" w:eastAsia="Arial" w:hAnsi="Segoe UI Symbol" w:cs="Segoe UI Symbol"/>
            </w:rPr>
            <w:t>☐</w:t>
          </w:r>
        </w:sdtContent>
      </w:sdt>
      <w:r w:rsidR="000820D4" w:rsidRPr="00B641B4">
        <w:rPr>
          <w:rFonts w:eastAsia="Arial" w:cs="Arial"/>
        </w:rPr>
        <w:tab/>
      </w:r>
      <w:r w:rsidR="00C76399" w:rsidRPr="00DF3B56">
        <w:rPr>
          <w:rFonts w:eastAsia="Arial" w:cs="Arial"/>
        </w:rPr>
        <w:t>Serv</w:t>
      </w:r>
      <w:r w:rsidR="5C6F0A54" w:rsidRPr="00DF3B56">
        <w:rPr>
          <w:rFonts w:eastAsia="Arial" w:cs="Arial"/>
        </w:rPr>
        <w:t>ice</w:t>
      </w:r>
      <w:r w:rsidR="00C76399" w:rsidRPr="00DF3B56">
        <w:rPr>
          <w:rFonts w:eastAsia="Arial" w:cs="Arial"/>
        </w:rPr>
        <w:t xml:space="preserve"> area </w:t>
      </w:r>
      <w:r w:rsidR="5C6F0A54" w:rsidRPr="00DF3B56">
        <w:rPr>
          <w:rFonts w:eastAsia="Arial" w:cs="Arial"/>
        </w:rPr>
        <w:t>includes</w:t>
      </w:r>
      <w:r w:rsidR="00C76399" w:rsidRPr="00DF3B56">
        <w:rPr>
          <w:rFonts w:eastAsia="Arial" w:cs="Arial"/>
        </w:rPr>
        <w:t xml:space="preserve"> a high proportion of households with </w:t>
      </w:r>
      <w:r w:rsidR="00CC318B">
        <w:rPr>
          <w:rFonts w:eastAsia="Arial" w:cs="Arial"/>
        </w:rPr>
        <w:t xml:space="preserve">no access to a </w:t>
      </w:r>
      <w:r w:rsidR="00C76399" w:rsidRPr="00DF3B56">
        <w:rPr>
          <w:rFonts w:eastAsia="Arial" w:cs="Arial"/>
        </w:rPr>
        <w:t>vehicle</w:t>
      </w:r>
    </w:p>
    <w:p w14:paraId="56D2B208" w14:textId="74BCD8B9" w:rsidR="00951445" w:rsidRPr="00DF3B56" w:rsidRDefault="00951445" w:rsidP="00613A5B">
      <w:pPr>
        <w:ind w:left="720"/>
        <w:rPr>
          <w:rFonts w:eastAsia="Arial" w:cs="Arial"/>
        </w:rPr>
      </w:pPr>
      <w:r>
        <w:rPr>
          <w:rFonts w:eastAsia="Arial" w:cs="Arial"/>
        </w:rPr>
        <w:t>Include percentage of households: _</w:t>
      </w:r>
    </w:p>
    <w:p w14:paraId="39124C5F" w14:textId="65858410" w:rsidR="00C76399" w:rsidRDefault="00000000" w:rsidP="00613A5B">
      <w:pPr>
        <w:spacing w:after="0"/>
        <w:ind w:left="720" w:hanging="360"/>
        <w:rPr>
          <w:rFonts w:eastAsia="Arial" w:cs="Arial"/>
        </w:rPr>
      </w:pPr>
      <w:sdt>
        <w:sdtPr>
          <w:rPr>
            <w:rFonts w:eastAsia="Arial" w:cs="Arial"/>
          </w:rPr>
          <w:id w:val="-93868604"/>
          <w14:checkbox>
            <w14:checked w14:val="0"/>
            <w14:checkedState w14:val="2612" w14:font="MS Gothic"/>
            <w14:uncheckedState w14:val="2610" w14:font="MS Gothic"/>
          </w14:checkbox>
        </w:sdtPr>
        <w:sdtContent>
          <w:r w:rsidR="000820D4" w:rsidRPr="00DF3B56">
            <w:rPr>
              <w:rFonts w:ascii="Segoe UI Symbol" w:eastAsia="Arial" w:hAnsi="Segoe UI Symbol" w:cs="Segoe UI Symbol"/>
            </w:rPr>
            <w:t>☐</w:t>
          </w:r>
        </w:sdtContent>
      </w:sdt>
      <w:r w:rsidR="000820D4" w:rsidRPr="00B641B4">
        <w:rPr>
          <w:rFonts w:eastAsia="Arial" w:cs="Arial"/>
        </w:rPr>
        <w:tab/>
      </w:r>
      <w:r w:rsidR="00336974" w:rsidRPr="00DF3B56">
        <w:rPr>
          <w:rFonts w:eastAsia="Arial" w:cs="Arial"/>
        </w:rPr>
        <w:t>Service</w:t>
      </w:r>
      <w:r w:rsidR="00C76399" w:rsidRPr="00DF3B56">
        <w:rPr>
          <w:rFonts w:eastAsia="Arial" w:cs="Arial"/>
        </w:rPr>
        <w:t xml:space="preserve"> area </w:t>
      </w:r>
      <w:r w:rsidR="00336974" w:rsidRPr="00DF3B56">
        <w:rPr>
          <w:rFonts w:eastAsia="Arial" w:cs="Arial"/>
        </w:rPr>
        <w:t>include</w:t>
      </w:r>
      <w:r w:rsidR="169E0A40" w:rsidRPr="00DF3B56">
        <w:rPr>
          <w:rFonts w:eastAsia="Arial" w:cs="Arial"/>
        </w:rPr>
        <w:t>s</w:t>
      </w:r>
      <w:r w:rsidR="00C76399" w:rsidRPr="00DF3B56">
        <w:rPr>
          <w:rFonts w:eastAsia="Arial" w:cs="Arial"/>
        </w:rPr>
        <w:t xml:space="preserve"> a high proportion of </w:t>
      </w:r>
      <w:r w:rsidR="00C77A25" w:rsidRPr="00DF3B56">
        <w:rPr>
          <w:rFonts w:eastAsia="Arial" w:cs="Arial"/>
        </w:rPr>
        <w:t>people</w:t>
      </w:r>
      <w:r w:rsidR="00C76399" w:rsidRPr="00DF3B56">
        <w:rPr>
          <w:rFonts w:eastAsia="Arial" w:cs="Arial"/>
        </w:rPr>
        <w:t xml:space="preserve"> with low</w:t>
      </w:r>
      <w:r w:rsidR="00EE6512" w:rsidRPr="00DF3B56">
        <w:rPr>
          <w:rFonts w:eastAsia="Arial" w:cs="Arial"/>
        </w:rPr>
        <w:t>er</w:t>
      </w:r>
      <w:r w:rsidR="00C76399" w:rsidRPr="00DF3B56">
        <w:rPr>
          <w:rFonts w:eastAsia="Arial" w:cs="Arial"/>
        </w:rPr>
        <w:t xml:space="preserve"> income</w:t>
      </w:r>
      <w:r w:rsidR="00951445">
        <w:rPr>
          <w:rFonts w:eastAsia="Arial" w:cs="Arial"/>
        </w:rPr>
        <w:t xml:space="preserve"> (185% of federal poverty rate)</w:t>
      </w:r>
    </w:p>
    <w:p w14:paraId="4F55DBF0" w14:textId="0BD32A38" w:rsidR="00951445" w:rsidRPr="00DF3B56" w:rsidRDefault="00951445" w:rsidP="00613A5B">
      <w:pPr>
        <w:ind w:left="720"/>
        <w:rPr>
          <w:rFonts w:eastAsia="Arial" w:cs="Arial"/>
        </w:rPr>
      </w:pPr>
      <w:r>
        <w:rPr>
          <w:rFonts w:eastAsia="Arial" w:cs="Arial"/>
        </w:rPr>
        <w:t>Include percentage of people with lower income: _</w:t>
      </w:r>
    </w:p>
    <w:p w14:paraId="52D7E056" w14:textId="10881B39" w:rsidR="6ACE2DC3" w:rsidRDefault="00000000" w:rsidP="00613A5B">
      <w:pPr>
        <w:spacing w:after="0"/>
        <w:ind w:left="720" w:hanging="360"/>
        <w:rPr>
          <w:rFonts w:eastAsia="Arial" w:cs="Arial"/>
        </w:rPr>
      </w:pPr>
      <w:sdt>
        <w:sdtPr>
          <w:rPr>
            <w:rFonts w:eastAsia="Arial" w:cs="Arial"/>
          </w:rPr>
          <w:id w:val="-1310165341"/>
          <w14:checkbox>
            <w14:checked w14:val="0"/>
            <w14:checkedState w14:val="2612" w14:font="MS Gothic"/>
            <w14:uncheckedState w14:val="2610" w14:font="MS Gothic"/>
          </w14:checkbox>
        </w:sdtPr>
        <w:sdtContent>
          <w:r w:rsidR="000820D4" w:rsidRPr="00DF3B56">
            <w:rPr>
              <w:rFonts w:ascii="Segoe UI Symbol" w:eastAsia="Arial" w:hAnsi="Segoe UI Symbol" w:cs="Segoe UI Symbol"/>
            </w:rPr>
            <w:t>☐</w:t>
          </w:r>
        </w:sdtContent>
      </w:sdt>
      <w:r w:rsidR="000820D4" w:rsidRPr="00B641B4">
        <w:rPr>
          <w:rFonts w:eastAsia="Arial" w:cs="Arial"/>
        </w:rPr>
        <w:tab/>
      </w:r>
      <w:r w:rsidR="6ACE2DC3" w:rsidRPr="00DF3B56">
        <w:rPr>
          <w:rFonts w:eastAsia="Arial" w:cs="Arial"/>
        </w:rPr>
        <w:t>Service area include</w:t>
      </w:r>
      <w:r w:rsidR="189624F1" w:rsidRPr="00DF3B56">
        <w:rPr>
          <w:rFonts w:eastAsia="Arial" w:cs="Arial"/>
        </w:rPr>
        <w:t>s</w:t>
      </w:r>
      <w:r w:rsidR="626EED64" w:rsidRPr="00DF3B56">
        <w:rPr>
          <w:rFonts w:eastAsia="Arial" w:cs="Arial"/>
        </w:rPr>
        <w:t xml:space="preserve"> a </w:t>
      </w:r>
      <w:r w:rsidR="626EED64" w:rsidRPr="007F3501">
        <w:rPr>
          <w:rFonts w:ascii="Segoe UI Symbol" w:eastAsia="Arial" w:hAnsi="Segoe UI Symbol" w:cs="Segoe UI Symbol"/>
        </w:rPr>
        <w:t>high</w:t>
      </w:r>
      <w:r w:rsidR="626EED64" w:rsidRPr="00DF3B56">
        <w:rPr>
          <w:rFonts w:eastAsia="Arial" w:cs="Arial"/>
        </w:rPr>
        <w:t xml:space="preserve"> proportion of people with disabilities</w:t>
      </w:r>
    </w:p>
    <w:p w14:paraId="4FCE3564" w14:textId="3F07674F" w:rsidR="00951445" w:rsidRDefault="00951445" w:rsidP="00613A5B">
      <w:pPr>
        <w:ind w:left="720"/>
        <w:rPr>
          <w:rFonts w:eastAsia="Arial" w:cs="Arial"/>
        </w:rPr>
      </w:pPr>
      <w:r>
        <w:rPr>
          <w:rFonts w:eastAsia="Arial" w:cs="Arial"/>
        </w:rPr>
        <w:t>Include percentage of people with disabilities: _</w:t>
      </w:r>
    </w:p>
    <w:p w14:paraId="44A485FF" w14:textId="0F311186" w:rsidR="00DB6316" w:rsidRDefault="00000000" w:rsidP="00613A5B">
      <w:pPr>
        <w:spacing w:after="0"/>
        <w:ind w:left="720" w:hanging="360"/>
        <w:rPr>
          <w:rFonts w:eastAsia="Arial" w:cs="Arial"/>
        </w:rPr>
      </w:pPr>
      <w:sdt>
        <w:sdtPr>
          <w:rPr>
            <w:rFonts w:eastAsia="Arial" w:cs="Arial"/>
          </w:rPr>
          <w:id w:val="-1527089442"/>
          <w14:checkbox>
            <w14:checked w14:val="0"/>
            <w14:checkedState w14:val="2612" w14:font="MS Gothic"/>
            <w14:uncheckedState w14:val="2610" w14:font="MS Gothic"/>
          </w14:checkbox>
        </w:sdtPr>
        <w:sdtContent>
          <w:r w:rsidR="00DB6316" w:rsidRPr="00DF3B56">
            <w:rPr>
              <w:rFonts w:ascii="Segoe UI Symbol" w:eastAsia="Arial" w:hAnsi="Segoe UI Symbol" w:cs="Segoe UI Symbol"/>
            </w:rPr>
            <w:t>☐</w:t>
          </w:r>
        </w:sdtContent>
      </w:sdt>
      <w:r w:rsidR="00DB6316" w:rsidRPr="00B641B4">
        <w:rPr>
          <w:rFonts w:eastAsia="Arial" w:cs="Arial"/>
        </w:rPr>
        <w:tab/>
      </w:r>
      <w:r w:rsidR="00DB6316" w:rsidRPr="00DF3B56">
        <w:rPr>
          <w:rFonts w:eastAsia="Arial" w:cs="Arial"/>
        </w:rPr>
        <w:t xml:space="preserve">Service area includes a </w:t>
      </w:r>
      <w:r w:rsidR="00DB6316" w:rsidRPr="007F3501">
        <w:rPr>
          <w:rFonts w:ascii="Segoe UI Symbol" w:eastAsia="Arial" w:hAnsi="Segoe UI Symbol" w:cs="Segoe UI Symbol"/>
        </w:rPr>
        <w:t>high</w:t>
      </w:r>
      <w:r w:rsidR="00DB6316" w:rsidRPr="00DF3B56">
        <w:rPr>
          <w:rFonts w:eastAsia="Arial" w:cs="Arial"/>
        </w:rPr>
        <w:t xml:space="preserve"> proportion of </w:t>
      </w:r>
      <w:r w:rsidR="00DB6316">
        <w:rPr>
          <w:rFonts w:eastAsia="Arial" w:cs="Arial"/>
        </w:rPr>
        <w:t>youth (ages 8 to 18)</w:t>
      </w:r>
    </w:p>
    <w:p w14:paraId="022F8128" w14:textId="1A1307AF" w:rsidR="00951445" w:rsidRPr="00DF3B56" w:rsidRDefault="00951445" w:rsidP="00613A5B">
      <w:pPr>
        <w:ind w:left="720"/>
        <w:rPr>
          <w:rFonts w:eastAsia="Arial" w:cs="Arial"/>
        </w:rPr>
      </w:pPr>
      <w:r>
        <w:rPr>
          <w:rFonts w:eastAsia="Arial" w:cs="Arial"/>
        </w:rPr>
        <w:t>Include percentage of youth: _</w:t>
      </w:r>
    </w:p>
    <w:p w14:paraId="6CA2CF48" w14:textId="2EC27E28" w:rsidR="66DD8E34" w:rsidRDefault="000E0199" w:rsidP="136EC1FB">
      <w:pPr>
        <w:rPr>
          <w:b/>
          <w:bCs/>
        </w:rPr>
      </w:pPr>
      <w:r>
        <w:rPr>
          <w:b/>
          <w:bCs/>
        </w:rPr>
        <w:t xml:space="preserve">Excessive </w:t>
      </w:r>
      <w:r w:rsidR="66DD8E34" w:rsidRPr="136EC1FB">
        <w:rPr>
          <w:b/>
          <w:bCs/>
        </w:rPr>
        <w:t>Delay and Reliability Corridors</w:t>
      </w:r>
    </w:p>
    <w:p w14:paraId="3CF0C916" w14:textId="09FDD6E0" w:rsidR="19BBA61B" w:rsidRPr="00DF3B56" w:rsidRDefault="00000000" w:rsidP="00613A5B">
      <w:pPr>
        <w:ind w:left="720" w:hanging="360"/>
        <w:rPr>
          <w:rFonts w:eastAsia="Arial" w:cs="Arial"/>
        </w:rPr>
      </w:pPr>
      <w:sdt>
        <w:sdtPr>
          <w:rPr>
            <w:rFonts w:eastAsia="Arial" w:cs="Arial"/>
          </w:rPr>
          <w:id w:val="743299539"/>
          <w14:checkbox>
            <w14:checked w14:val="0"/>
            <w14:checkedState w14:val="2612" w14:font="MS Gothic"/>
            <w14:uncheckedState w14:val="2610" w14:font="MS Gothic"/>
          </w14:checkbox>
        </w:sdtPr>
        <w:sdtContent>
          <w:r w:rsidR="000820D4" w:rsidRPr="00DF3B56">
            <w:rPr>
              <w:rFonts w:ascii="Segoe UI Symbol" w:eastAsia="Arial" w:hAnsi="Segoe UI Symbol" w:cs="Segoe UI Symbol"/>
            </w:rPr>
            <w:t>☐</w:t>
          </w:r>
        </w:sdtContent>
      </w:sdt>
      <w:r w:rsidR="000820D4" w:rsidRPr="00B641B4">
        <w:rPr>
          <w:rFonts w:eastAsia="Arial" w:cs="Arial"/>
        </w:rPr>
        <w:tab/>
      </w:r>
      <w:r w:rsidR="19BBA61B" w:rsidRPr="00DF3B56">
        <w:rPr>
          <w:rFonts w:eastAsia="Arial" w:cs="Arial"/>
        </w:rPr>
        <w:t>Provides an alternative travel option along</w:t>
      </w:r>
      <w:r w:rsidR="626EED64" w:rsidRPr="00DF3B56">
        <w:rPr>
          <w:rFonts w:eastAsia="Arial" w:cs="Arial"/>
        </w:rPr>
        <w:t xml:space="preserve"> a </w:t>
      </w:r>
      <w:r w:rsidR="5C0BAE70" w:rsidRPr="00DF3B56">
        <w:rPr>
          <w:rFonts w:eastAsia="Arial" w:cs="Arial"/>
        </w:rPr>
        <w:t xml:space="preserve">roadway </w:t>
      </w:r>
      <w:r w:rsidR="626EED64" w:rsidRPr="00DF3B56">
        <w:rPr>
          <w:rFonts w:eastAsia="Arial" w:cs="Arial"/>
        </w:rPr>
        <w:t xml:space="preserve">corridor with </w:t>
      </w:r>
      <w:r w:rsidR="00255F4B">
        <w:rPr>
          <w:rFonts w:eastAsia="Arial" w:cs="Arial"/>
        </w:rPr>
        <w:t>two hours or more of excessive</w:t>
      </w:r>
      <w:r w:rsidR="00255F4B" w:rsidRPr="00DF3B56">
        <w:rPr>
          <w:rFonts w:eastAsia="Arial" w:cs="Arial"/>
        </w:rPr>
        <w:t xml:space="preserve"> </w:t>
      </w:r>
      <w:r w:rsidR="1C33D307" w:rsidRPr="00DF3B56">
        <w:rPr>
          <w:rFonts w:eastAsia="Arial" w:cs="Arial"/>
        </w:rPr>
        <w:t>delay</w:t>
      </w:r>
    </w:p>
    <w:p w14:paraId="56A4945B" w14:textId="32E8891B" w:rsidR="15103EB7" w:rsidRPr="00DF3B56" w:rsidRDefault="00000000" w:rsidP="00613A5B">
      <w:pPr>
        <w:ind w:left="720" w:hanging="360"/>
        <w:rPr>
          <w:rFonts w:eastAsia="Arial" w:cs="Arial"/>
        </w:rPr>
      </w:pPr>
      <w:sdt>
        <w:sdtPr>
          <w:rPr>
            <w:rFonts w:eastAsia="Arial" w:cs="Arial"/>
          </w:rPr>
          <w:id w:val="-2074034752"/>
          <w14:checkbox>
            <w14:checked w14:val="0"/>
            <w14:checkedState w14:val="2612" w14:font="MS Gothic"/>
            <w14:uncheckedState w14:val="2610" w14:font="MS Gothic"/>
          </w14:checkbox>
        </w:sdtPr>
        <w:sdtContent>
          <w:r w:rsidR="000820D4" w:rsidRPr="00DF3B56">
            <w:rPr>
              <w:rFonts w:ascii="Segoe UI Symbol" w:eastAsia="Arial" w:hAnsi="Segoe UI Symbol" w:cs="Segoe UI Symbol"/>
            </w:rPr>
            <w:t>☐</w:t>
          </w:r>
        </w:sdtContent>
      </w:sdt>
      <w:r w:rsidR="000820D4" w:rsidRPr="00B641B4">
        <w:rPr>
          <w:rFonts w:eastAsia="Arial" w:cs="Arial"/>
        </w:rPr>
        <w:tab/>
      </w:r>
      <w:r w:rsidR="15103EB7" w:rsidRPr="00DF3B56">
        <w:rPr>
          <w:rFonts w:eastAsia="Arial" w:cs="Arial"/>
        </w:rPr>
        <w:t xml:space="preserve">Provides an alternative travel option along a </w:t>
      </w:r>
      <w:r w:rsidR="7E90B47E" w:rsidRPr="00DF3B56">
        <w:rPr>
          <w:rFonts w:eastAsia="Arial" w:cs="Arial"/>
        </w:rPr>
        <w:t xml:space="preserve">roadway </w:t>
      </w:r>
      <w:r w:rsidR="15103EB7" w:rsidRPr="00DF3B56">
        <w:rPr>
          <w:rFonts w:eastAsia="Arial" w:cs="Arial"/>
        </w:rPr>
        <w:t>c</w:t>
      </w:r>
      <w:r w:rsidR="1C33D307" w:rsidRPr="00DF3B56">
        <w:rPr>
          <w:rFonts w:eastAsia="Arial" w:cs="Arial"/>
        </w:rPr>
        <w:t>orridor with low reliability</w:t>
      </w:r>
      <w:r w:rsidR="008A470F">
        <w:rPr>
          <w:rFonts w:eastAsia="Arial" w:cs="Arial"/>
        </w:rPr>
        <w:t xml:space="preserve"> as </w:t>
      </w:r>
      <w:r w:rsidR="00BC060F">
        <w:rPr>
          <w:rFonts w:eastAsia="Arial" w:cs="Arial"/>
        </w:rPr>
        <w:t>measured by a buffer index of 0.5 or greater</w:t>
      </w:r>
    </w:p>
    <w:p w14:paraId="35C8AAAD" w14:textId="2C8B26A6" w:rsidR="34DDEB1C" w:rsidRDefault="34DDEB1C" w:rsidP="1EFEFD43">
      <w:pPr>
        <w:rPr>
          <w:b/>
          <w:bCs/>
        </w:rPr>
      </w:pPr>
      <w:r w:rsidRPr="1EFEFD43">
        <w:rPr>
          <w:b/>
          <w:bCs/>
        </w:rPr>
        <w:t>Other</w:t>
      </w:r>
    </w:p>
    <w:p w14:paraId="7614245F" w14:textId="7D43D3F1" w:rsidR="34DDEB1C" w:rsidRPr="00DF3B56" w:rsidRDefault="00000000" w:rsidP="00613A5B">
      <w:pPr>
        <w:ind w:left="720" w:hanging="360"/>
        <w:rPr>
          <w:rFonts w:eastAsia="Arial" w:cs="Arial"/>
        </w:rPr>
      </w:pPr>
      <w:sdt>
        <w:sdtPr>
          <w:rPr>
            <w:rFonts w:eastAsia="Arial" w:cs="Arial"/>
          </w:rPr>
          <w:id w:val="1395785737"/>
          <w14:checkbox>
            <w14:checked w14:val="0"/>
            <w14:checkedState w14:val="2612" w14:font="MS Gothic"/>
            <w14:uncheckedState w14:val="2610" w14:font="MS Gothic"/>
          </w14:checkbox>
        </w:sdtPr>
        <w:sdtContent>
          <w:r w:rsidR="000F75EB" w:rsidRPr="00DF3B56">
            <w:rPr>
              <w:rFonts w:ascii="Segoe UI Symbol" w:eastAsia="Arial" w:hAnsi="Segoe UI Symbol" w:cs="Segoe UI Symbol"/>
            </w:rPr>
            <w:t>☐</w:t>
          </w:r>
        </w:sdtContent>
      </w:sdt>
      <w:r w:rsidR="000F75EB" w:rsidRPr="00B641B4">
        <w:rPr>
          <w:rFonts w:eastAsia="Arial" w:cs="Arial"/>
        </w:rPr>
        <w:tab/>
      </w:r>
      <w:r w:rsidR="34DDEB1C" w:rsidRPr="00DF3B56">
        <w:rPr>
          <w:rFonts w:eastAsia="Arial" w:cs="Arial"/>
        </w:rPr>
        <w:t xml:space="preserve">Project serves another </w:t>
      </w:r>
      <w:r w:rsidR="2FE92429" w:rsidRPr="00DF3B56">
        <w:rPr>
          <w:rFonts w:eastAsia="Arial" w:cs="Arial"/>
        </w:rPr>
        <w:t>type of high transit need (describe how you are defining need and how the project addresses it in your narrative response)</w:t>
      </w:r>
    </w:p>
    <w:p w14:paraId="346B2CD6" w14:textId="56126BE2" w:rsidR="7C8A8AD7" w:rsidRDefault="7C8A8AD7" w:rsidP="136EC1FB">
      <w:r w:rsidRPr="254EA43E">
        <w:rPr>
          <w:b/>
          <w:bCs/>
        </w:rPr>
        <w:t>Note</w:t>
      </w:r>
      <w:r w:rsidR="00D8790A">
        <w:rPr>
          <w:b/>
          <w:bCs/>
        </w:rPr>
        <w:t>s</w:t>
      </w:r>
      <w:r w:rsidRPr="254EA43E">
        <w:rPr>
          <w:b/>
          <w:bCs/>
        </w:rPr>
        <w:t>:</w:t>
      </w:r>
      <w:r>
        <w:t xml:space="preserve"> For demographic data, use </w:t>
      </w:r>
      <w:r w:rsidR="496F48CF">
        <w:t>data from the most recent</w:t>
      </w:r>
      <w:r w:rsidR="00C23C46">
        <w:t>ly available</w:t>
      </w:r>
      <w:r w:rsidR="496F48CF">
        <w:t xml:space="preserve"> U.S. Census </w:t>
      </w:r>
      <w:r w:rsidR="00C23C46">
        <w:t>year</w:t>
      </w:r>
      <w:r w:rsidR="009C5A2B">
        <w:t xml:space="preserve"> (American Community Survey)</w:t>
      </w:r>
      <w:r w:rsidR="496F48CF">
        <w:t xml:space="preserve">. </w:t>
      </w:r>
      <w:r w:rsidR="77602B88">
        <w:t xml:space="preserve">The project’s service area is defined as within </w:t>
      </w:r>
      <w:r w:rsidR="00467BCA">
        <w:t xml:space="preserve">½ </w:t>
      </w:r>
      <w:r w:rsidR="00DE51BF">
        <w:t>mile of stops for all types of transit service</w:t>
      </w:r>
      <w:r w:rsidR="77602B88">
        <w:t xml:space="preserve">. </w:t>
      </w:r>
      <w:r w:rsidR="54E51144">
        <w:t>Data from Census Tracts – existing</w:t>
      </w:r>
      <w:r w:rsidR="242D1C9F">
        <w:t xml:space="preserve"> </w:t>
      </w:r>
      <w:r w:rsidR="54E51144">
        <w:t xml:space="preserve">and new </w:t>
      </w:r>
      <w:r w:rsidR="00BC3775">
        <w:t>–</w:t>
      </w:r>
      <w:r w:rsidR="54E51144">
        <w:t xml:space="preserve"> may be included in the analysis</w:t>
      </w:r>
      <w:r w:rsidR="6D764AE9">
        <w:t xml:space="preserve">. For microtransit, </w:t>
      </w:r>
      <w:r w:rsidR="314D377E">
        <w:t xml:space="preserve">all </w:t>
      </w:r>
      <w:r w:rsidR="6D764AE9">
        <w:t xml:space="preserve">Census Tracts within the service area </w:t>
      </w:r>
      <w:r w:rsidR="00C139E6">
        <w:t xml:space="preserve">zone </w:t>
      </w:r>
      <w:r w:rsidR="724E18C5">
        <w:t>may</w:t>
      </w:r>
      <w:r w:rsidR="6D764AE9">
        <w:t xml:space="preserve"> be </w:t>
      </w:r>
      <w:r w:rsidR="00DE51BF">
        <w:t>included but</w:t>
      </w:r>
      <w:r w:rsidR="00C139E6">
        <w:t xml:space="preserve"> not connecting zones</w:t>
      </w:r>
      <w:r w:rsidR="6D764AE9">
        <w:t>.</w:t>
      </w:r>
      <w:r w:rsidR="31137848">
        <w:t xml:space="preserve"> Include the relevant data in yo</w:t>
      </w:r>
      <w:r w:rsidR="6716E64D">
        <w:t>ur narrative and your methodology in the open-response sections below.</w:t>
      </w:r>
    </w:p>
    <w:p w14:paraId="2D3F5BE9" w14:textId="602FFE3C" w:rsidR="31137848" w:rsidRDefault="31137848" w:rsidP="003E5565">
      <w:r>
        <w:lastRenderedPageBreak/>
        <w:t xml:space="preserve">For </w:t>
      </w:r>
      <w:r w:rsidR="00A62D79">
        <w:t xml:space="preserve">excessive </w:t>
      </w:r>
      <w:r w:rsidR="209ABFC2">
        <w:t xml:space="preserve">delay and reliability </w:t>
      </w:r>
      <w:r w:rsidR="6DF3F805">
        <w:t>c</w:t>
      </w:r>
      <w:r w:rsidR="209ABFC2">
        <w:t>orridors, only check</w:t>
      </w:r>
      <w:r w:rsidR="3D173A31">
        <w:t xml:space="preserve"> the </w:t>
      </w:r>
      <w:proofErr w:type="gramStart"/>
      <w:r w:rsidR="3D173A31">
        <w:t>box</w:t>
      </w:r>
      <w:proofErr w:type="gramEnd"/>
      <w:r w:rsidR="3D173A31">
        <w:t xml:space="preserve"> if the project provides a</w:t>
      </w:r>
      <w:r w:rsidR="0CEEA93A">
        <w:t xml:space="preserve"> new </w:t>
      </w:r>
      <w:r w:rsidR="3D173A31">
        <w:t xml:space="preserve">alternate </w:t>
      </w:r>
      <w:r w:rsidR="5618CD05">
        <w:t xml:space="preserve">travel option </w:t>
      </w:r>
      <w:r w:rsidR="25EFA400">
        <w:t xml:space="preserve">or improves an existing alternate travel option </w:t>
      </w:r>
      <w:r w:rsidR="5618CD05">
        <w:t xml:space="preserve">for a corridor </w:t>
      </w:r>
      <w:r w:rsidR="000043E7">
        <w:t>identified with excessive delay</w:t>
      </w:r>
      <w:r w:rsidR="0095573A">
        <w:t xml:space="preserve"> (Travel Time Index greater than 1.25) or unreliable travel (Buffer Time Index greater than 0.5)</w:t>
      </w:r>
      <w:r w:rsidR="003E5565">
        <w:t xml:space="preserve">. </w:t>
      </w:r>
      <w:hyperlink r:id="rId13" w:history="1">
        <w:r w:rsidR="003E5565" w:rsidRPr="003E5565">
          <w:rPr>
            <w:rStyle w:val="Hyperlink"/>
          </w:rPr>
          <w:t xml:space="preserve">See the Congestion Management Strategies </w:t>
        </w:r>
        <w:proofErr w:type="gramStart"/>
        <w:r w:rsidR="003E5565" w:rsidRPr="003E5565">
          <w:rPr>
            <w:rStyle w:val="Hyperlink"/>
          </w:rPr>
          <w:t>tab</w:t>
        </w:r>
        <w:proofErr w:type="gramEnd"/>
        <w:r w:rsidR="003E5565" w:rsidRPr="003E5565">
          <w:rPr>
            <w:rStyle w:val="Hyperlink"/>
          </w:rPr>
          <w:t xml:space="preserve"> on the Regional Solicitation Data Atlas for corridors</w:t>
        </w:r>
      </w:hyperlink>
      <w:r w:rsidR="003E5565">
        <w:t>.</w:t>
      </w:r>
      <w:r w:rsidR="6515A28E" w:rsidRPr="006F5B23">
        <w:rPr>
          <w:color w:val="1F497D" w:themeColor="text2"/>
        </w:rPr>
        <w:t xml:space="preserve"> </w:t>
      </w:r>
      <w:r w:rsidR="001830F1">
        <w:t>The data will be updated for use in the Regional Solicitation</w:t>
      </w:r>
      <w:r w:rsidR="000315D3">
        <w:t xml:space="preserve">. </w:t>
      </w:r>
      <w:r w:rsidR="00C43D2F">
        <w:t xml:space="preserve">The </w:t>
      </w:r>
      <w:r w:rsidR="53429B4B">
        <w:t xml:space="preserve">narrative should address </w:t>
      </w:r>
      <w:r w:rsidR="00134573">
        <w:t>how</w:t>
      </w:r>
      <w:r w:rsidR="53429B4B">
        <w:t xml:space="preserve"> </w:t>
      </w:r>
      <w:r w:rsidR="00C43D2F">
        <w:t xml:space="preserve">the </w:t>
      </w:r>
      <w:r w:rsidR="53429B4B">
        <w:t xml:space="preserve">project will impact performance on the corridor </w:t>
      </w:r>
      <w:r w:rsidR="40B5985B">
        <w:t xml:space="preserve">using </w:t>
      </w:r>
      <w:r w:rsidR="3A75A33F">
        <w:t>a quantitative</w:t>
      </w:r>
      <w:r w:rsidR="53429B4B">
        <w:t xml:space="preserve"> </w:t>
      </w:r>
      <w:r w:rsidR="26ACF248">
        <w:t>and/</w:t>
      </w:r>
      <w:r w:rsidR="53429B4B">
        <w:t>or qualitative</w:t>
      </w:r>
      <w:r w:rsidR="0603F064">
        <w:t xml:space="preserve"> </w:t>
      </w:r>
      <w:r w:rsidR="7142A289">
        <w:t>assessment</w:t>
      </w:r>
      <w:r w:rsidR="53429B4B">
        <w:t>.</w:t>
      </w:r>
    </w:p>
    <w:p w14:paraId="77FFCE10" w14:textId="01AE8E31" w:rsidR="24034EAE" w:rsidRDefault="24034EAE" w:rsidP="136EC1FB">
      <w:r>
        <w:t>The transit needs-based determination may apply to the whole project area</w:t>
      </w:r>
      <w:r w:rsidR="16BD3CFA">
        <w:t xml:space="preserve">, portions of the route, or </w:t>
      </w:r>
      <w:r>
        <w:t xml:space="preserve">specific stops served by the project. Your narrative should clearly explain </w:t>
      </w:r>
      <w:r w:rsidR="04B4C28B">
        <w:t>where the project is serving an area of transit need and how the project will improve service to these areas.</w:t>
      </w:r>
    </w:p>
    <w:p w14:paraId="63998D3A" w14:textId="671A9113" w:rsidR="0076697A" w:rsidRDefault="0076697A" w:rsidP="0076697A">
      <w:r>
        <w:t xml:space="preserve">Provide a brief narrative that describes how the proposed project impacts </w:t>
      </w:r>
      <w:r w:rsidR="156AD089">
        <w:t>areas</w:t>
      </w:r>
      <w:r>
        <w:t xml:space="preserve"> of high transit need, including addressing any of the items selected above. Provide quantitative information as applicable</w:t>
      </w:r>
      <w:r w:rsidR="00F51623">
        <w:t xml:space="preserve"> (</w:t>
      </w:r>
      <w:r w:rsidR="00815201">
        <w:t xml:space="preserve">300 </w:t>
      </w:r>
      <w:r w:rsidR="00F51623">
        <w:t>words or less)</w:t>
      </w:r>
      <w:r w:rsidR="00DF42EB">
        <w:t>: _</w:t>
      </w:r>
    </w:p>
    <w:p w14:paraId="05D42D69" w14:textId="013C7134" w:rsidR="00DF7FC8" w:rsidRDefault="00DF7FC8" w:rsidP="00DF7FC8">
      <w:r>
        <w:t xml:space="preserve">If you provided quantitative information above, provide a brief narrative of the data and methodology you used to quantify the </w:t>
      </w:r>
      <w:r w:rsidR="26F78A7E">
        <w:t>project's</w:t>
      </w:r>
      <w:r>
        <w:t xml:space="preserve"> impact</w:t>
      </w:r>
      <w:r w:rsidR="00F51623">
        <w:t xml:space="preserve"> (100 words or less)</w:t>
      </w:r>
      <w:r w:rsidR="00DF42EB">
        <w:t>: _</w:t>
      </w:r>
    </w:p>
    <w:p w14:paraId="6AF82789" w14:textId="77777777" w:rsidR="0084451D" w:rsidRPr="00450499" w:rsidRDefault="0084451D" w:rsidP="00153CDB">
      <w:pPr>
        <w:pStyle w:val="Heading4"/>
      </w:pPr>
      <w:r>
        <w:t>Scoring Guidance</w:t>
      </w:r>
    </w:p>
    <w:p w14:paraId="1AF20088" w14:textId="5C1E697D" w:rsidR="7EBD323B" w:rsidRPr="00262C1E" w:rsidRDefault="44AEF40F" w:rsidP="00D41749">
      <w:pPr>
        <w:rPr>
          <w:rFonts w:eastAsia="Arial"/>
        </w:rPr>
      </w:pPr>
      <w:r w:rsidRPr="44AEF40F">
        <w:rPr>
          <w:rFonts w:eastAsia="Arial"/>
        </w:rPr>
        <w:t xml:space="preserve">Consider the information and narrative provided by the applicant and rate projects based on the benchmarks provided below. Projects may score at any point along the scale based on their performance against the stated </w:t>
      </w:r>
      <w:r w:rsidR="00925752">
        <w:rPr>
          <w:rFonts w:eastAsia="Arial"/>
        </w:rPr>
        <w:t>guidance</w:t>
      </w:r>
      <w:r w:rsidRPr="44AEF40F">
        <w:rPr>
          <w:rFonts w:eastAsia="Arial"/>
        </w:rPr>
        <w:t>.</w:t>
      </w:r>
    </w:p>
    <w:p w14:paraId="2A7EA0EC" w14:textId="376FC4FA" w:rsidR="7EBD323B" w:rsidRPr="00A072E3" w:rsidRDefault="44AEF40F" w:rsidP="00A072E3">
      <w:pPr>
        <w:pStyle w:val="ListBullet"/>
      </w:pPr>
      <w:r w:rsidRPr="00A072E3">
        <w:rPr>
          <w:b/>
          <w:bCs/>
        </w:rPr>
        <w:t>High:</w:t>
      </w:r>
      <w:r w:rsidRPr="00A072E3">
        <w:t xml:space="preserve"> The highest </w:t>
      </w:r>
      <w:r w:rsidR="00621D0C" w:rsidRPr="00A072E3">
        <w:t xml:space="preserve">rated </w:t>
      </w:r>
      <w:r w:rsidRPr="00A072E3">
        <w:t>projects in this measure will address multiple areas/types of transit needs, using sound data and analysis methodology. Addressing demographic areas of need should be prioritized over delay/reliability and other types of need. Specifically, highest priority should be given to projects that address the demographic areas of need directly listed in the question (checkboxes).</w:t>
      </w:r>
    </w:p>
    <w:p w14:paraId="458F7FBE" w14:textId="40E1C757" w:rsidR="7EBD323B" w:rsidRPr="00A072E3" w:rsidRDefault="009C5A2B" w:rsidP="00A072E3">
      <w:pPr>
        <w:pStyle w:val="ListBullet"/>
        <w:rPr>
          <w:b/>
          <w:bCs/>
        </w:rPr>
      </w:pPr>
      <w:r w:rsidRPr="00A072E3">
        <w:rPr>
          <w:b/>
          <w:bCs/>
        </w:rPr>
        <w:t>Medium-High</w:t>
      </w:r>
    </w:p>
    <w:p w14:paraId="52BB6ECF" w14:textId="3AC21911" w:rsidR="7EBD323B" w:rsidRPr="00A072E3" w:rsidRDefault="44AEF40F" w:rsidP="00A072E3">
      <w:pPr>
        <w:pStyle w:val="ListBullet"/>
      </w:pPr>
      <w:r w:rsidRPr="00A072E3">
        <w:rPr>
          <w:b/>
          <w:bCs/>
        </w:rPr>
        <w:t>Medium:</w:t>
      </w:r>
      <w:r w:rsidRPr="00A072E3">
        <w:t xml:space="preserve"> Mid-range projects in this measure address one or few areas of transit need or address lower priority types of transit need. Points should be reduced if data or analysis methodology is less </w:t>
      </w:r>
      <w:r w:rsidR="004938BE" w:rsidRPr="00A072E3">
        <w:t>established</w:t>
      </w:r>
      <w:r w:rsidRPr="00A072E3">
        <w:t>.</w:t>
      </w:r>
    </w:p>
    <w:p w14:paraId="4A9EBECA" w14:textId="720B9964" w:rsidR="622F71BE" w:rsidRPr="00A072E3" w:rsidRDefault="622F71BE" w:rsidP="00A072E3">
      <w:pPr>
        <w:pStyle w:val="ListBullet"/>
        <w:rPr>
          <w:b/>
          <w:bCs/>
        </w:rPr>
      </w:pPr>
      <w:r w:rsidRPr="00A072E3">
        <w:rPr>
          <w:b/>
          <w:bCs/>
        </w:rPr>
        <w:t>Medium-Low</w:t>
      </w:r>
    </w:p>
    <w:p w14:paraId="0550D14A" w14:textId="72E49BAB" w:rsidR="7EBD323B" w:rsidRPr="00A072E3" w:rsidRDefault="44AEF40F" w:rsidP="00A072E3">
      <w:pPr>
        <w:pStyle w:val="ListBullet"/>
      </w:pPr>
      <w:r w:rsidRPr="00A072E3">
        <w:rPr>
          <w:b/>
          <w:bCs/>
        </w:rPr>
        <w:t>Low:</w:t>
      </w:r>
      <w:r w:rsidRPr="00A072E3">
        <w:t xml:space="preserve"> Low rated project in this measure will address only one area of transit need and/or have </w:t>
      </w:r>
      <w:r w:rsidR="007E1C2B" w:rsidRPr="00A072E3">
        <w:t xml:space="preserve">low quality </w:t>
      </w:r>
      <w:r w:rsidRPr="00A072E3">
        <w:t xml:space="preserve">data or </w:t>
      </w:r>
      <w:r w:rsidR="00A90CB6" w:rsidRPr="00A072E3">
        <w:t xml:space="preserve">an unestablished </w:t>
      </w:r>
      <w:r w:rsidRPr="00A072E3">
        <w:t>analysis methodology.</w:t>
      </w:r>
    </w:p>
    <w:p w14:paraId="79ED9AF5" w14:textId="52BA4CE6" w:rsidR="009C5A2B" w:rsidRPr="00A072E3" w:rsidRDefault="007C4DA5" w:rsidP="00A072E3">
      <w:pPr>
        <w:pStyle w:val="ListBullet"/>
      </w:pPr>
      <w:r w:rsidRPr="00A072E3">
        <w:rPr>
          <w:b/>
          <w:bCs/>
        </w:rPr>
        <w:t>Non-responsive/non relevant</w:t>
      </w:r>
      <w:r w:rsidR="533025F0" w:rsidRPr="00A072E3">
        <w:rPr>
          <w:b/>
          <w:bCs/>
        </w:rPr>
        <w:t>:</w:t>
      </w:r>
      <w:r w:rsidR="533025F0" w:rsidRPr="00A072E3">
        <w:t xml:space="preserve"> Projects should receive zero points in this measure if they do not provide data or sufficient explanation describing how the project will address an area of transit need.</w:t>
      </w:r>
    </w:p>
    <w:p w14:paraId="00578E11" w14:textId="1E0CC4E2" w:rsidR="00CA32C7" w:rsidRDefault="00CA32C7" w:rsidP="00B127AB">
      <w:pPr>
        <w:pStyle w:val="Heading2"/>
      </w:pPr>
      <w:r w:rsidRPr="00B127AB">
        <w:t xml:space="preserve">Community </w:t>
      </w:r>
      <w:r w:rsidR="1E0E4A7B" w:rsidRPr="00B127AB">
        <w:t>C</w:t>
      </w:r>
      <w:r w:rsidRPr="00B127AB">
        <w:t>onsiderations</w:t>
      </w:r>
    </w:p>
    <w:p w14:paraId="7D1ED8B7" w14:textId="3965623E" w:rsidR="00A64950" w:rsidRPr="00286EB7" w:rsidRDefault="00480797" w:rsidP="006A51F0">
      <w:pPr>
        <w:rPr>
          <w:u w:val="single"/>
        </w:rPr>
      </w:pPr>
      <w:r>
        <w:t>See separate Community Considerations criteria</w:t>
      </w:r>
      <w:r w:rsidR="00981FFD">
        <w:t xml:space="preserve"> document</w:t>
      </w:r>
      <w:r>
        <w:t>.</w:t>
      </w:r>
    </w:p>
    <w:sectPr w:rsidR="00A64950" w:rsidRPr="00286EB7" w:rsidSect="00144555">
      <w:headerReference w:type="even" r:id="rId14"/>
      <w:headerReference w:type="default" r:id="rId15"/>
      <w:footerReference w:type="even" r:id="rId16"/>
      <w:footerReference w:type="default" r:id="rId17"/>
      <w:footerReference w:type="first" r:id="rId18"/>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4A6E" w14:textId="77777777" w:rsidR="002E2E1F" w:rsidRDefault="002E2E1F" w:rsidP="008C4FA3">
      <w:r>
        <w:separator/>
      </w:r>
    </w:p>
    <w:p w14:paraId="77CF5E63" w14:textId="77777777" w:rsidR="002E2E1F" w:rsidRDefault="002E2E1F"/>
    <w:p w14:paraId="6964E28A" w14:textId="77777777" w:rsidR="002E2E1F" w:rsidRDefault="002E2E1F"/>
  </w:endnote>
  <w:endnote w:type="continuationSeparator" w:id="0">
    <w:p w14:paraId="4D50B2E6" w14:textId="77777777" w:rsidR="002E2E1F" w:rsidRDefault="002E2E1F" w:rsidP="008C4FA3">
      <w:r>
        <w:continuationSeparator/>
      </w:r>
    </w:p>
    <w:p w14:paraId="2BEC04FC" w14:textId="77777777" w:rsidR="002E2E1F" w:rsidRDefault="002E2E1F"/>
    <w:p w14:paraId="188812D0" w14:textId="77777777" w:rsidR="002E2E1F" w:rsidRDefault="002E2E1F"/>
  </w:endnote>
  <w:endnote w:type="continuationNotice" w:id="1">
    <w:p w14:paraId="24972687" w14:textId="77777777" w:rsidR="002E2E1F" w:rsidRDefault="002E2E1F">
      <w:pPr>
        <w:spacing w:after="0"/>
      </w:pPr>
    </w:p>
    <w:p w14:paraId="55ADDE63" w14:textId="77777777" w:rsidR="002E2E1F" w:rsidRDefault="002E2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p w14:paraId="446663D6" w14:textId="77777777" w:rsidR="00185D7E" w:rsidRDefault="00185D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2A7B9634" w14:textId="562C4113" w:rsidR="00470184" w:rsidRDefault="00470184" w:rsidP="00470184">
        <w:pPr>
          <w:pStyle w:val="Footer"/>
        </w:pPr>
        <w:r>
          <w:fldChar w:fldCharType="begin"/>
        </w:r>
        <w:r>
          <w:instrText xml:space="preserve"> PAGE   \* MERGEFORMAT </w:instrText>
        </w:r>
        <w:r>
          <w:fldChar w:fldCharType="separate"/>
        </w:r>
        <w:r>
          <w:t>2</w:t>
        </w:r>
        <w:r>
          <w:rPr>
            <w:noProof/>
          </w:rPr>
          <w:fldChar w:fldCharType="end"/>
        </w:r>
        <w:r>
          <w:t xml:space="preserve"> | </w:t>
        </w:r>
        <w:r>
          <w:rPr>
            <w:color w:val="7F7F7F" w:themeColor="background1" w:themeShade="7F"/>
            <w:spacing w:val="60"/>
          </w:rPr>
          <w:t>Page</w:t>
        </w:r>
      </w:p>
    </w:sdtContent>
  </w:sdt>
  <w:p w14:paraId="134C3114" w14:textId="1E5FA43C" w:rsidR="00185D7E" w:rsidRDefault="00185D7E" w:rsidP="00470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C03" w14:textId="143D74C4" w:rsidR="00185D7E" w:rsidRDefault="00C47EFB" w:rsidP="00C47EFB">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E333" w14:textId="77777777" w:rsidR="002E2E1F" w:rsidRDefault="002E2E1F" w:rsidP="008C4FA3">
      <w:r>
        <w:separator/>
      </w:r>
    </w:p>
    <w:p w14:paraId="7FF6EC26" w14:textId="77777777" w:rsidR="002E2E1F" w:rsidRDefault="002E2E1F"/>
    <w:p w14:paraId="3ECE58BA" w14:textId="77777777" w:rsidR="002E2E1F" w:rsidRDefault="002E2E1F"/>
  </w:footnote>
  <w:footnote w:type="continuationSeparator" w:id="0">
    <w:p w14:paraId="5483CD5E" w14:textId="77777777" w:rsidR="002E2E1F" w:rsidRDefault="002E2E1F" w:rsidP="008C4FA3">
      <w:r>
        <w:continuationSeparator/>
      </w:r>
    </w:p>
    <w:p w14:paraId="5F6A61F1" w14:textId="77777777" w:rsidR="002E2E1F" w:rsidRDefault="002E2E1F"/>
    <w:p w14:paraId="0F3C4FBE" w14:textId="77777777" w:rsidR="002E2E1F" w:rsidRDefault="002E2E1F"/>
  </w:footnote>
  <w:footnote w:type="continuationNotice" w:id="1">
    <w:p w14:paraId="03C87D7C" w14:textId="77777777" w:rsidR="002E2E1F" w:rsidRDefault="002E2E1F">
      <w:pPr>
        <w:spacing w:after="0"/>
      </w:pPr>
    </w:p>
    <w:p w14:paraId="3D82BB90" w14:textId="77777777" w:rsidR="002E2E1F" w:rsidRDefault="002E2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p w14:paraId="629BA000" w14:textId="77777777" w:rsidR="00185D7E" w:rsidRDefault="00185D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BDDBCA79CC234D67A95BF6133E19B099"/>
      </w:placeholder>
      <w:dataBinding w:prefixMappings="xmlns:ns0='http://purl.org/dc/elements/1.1/' xmlns:ns1='http://schemas.openxmlformats.org/package/2006/metadata/core-properties' " w:xpath="/ns1:coreProperties[1]/ns0:title[1]" w:storeItemID="{6C3C8BC8-F283-45AE-878A-BAB7291924A1}"/>
      <w:text/>
    </w:sdtPr>
    <w:sdtContent>
      <w:p w14:paraId="6BE1734D" w14:textId="7FDB8CED" w:rsidR="005A6DE9" w:rsidRDefault="005A6DE9">
        <w:pPr>
          <w:pStyle w:val="Header"/>
        </w:pPr>
        <w:r>
          <w:t>Transit Expansion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4E3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65A2F"/>
    <w:multiLevelType w:val="hybridMultilevel"/>
    <w:tmpl w:val="FD3A403C"/>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12B76"/>
    <w:multiLevelType w:val="multilevel"/>
    <w:tmpl w:val="0C3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33093"/>
    <w:multiLevelType w:val="hybridMultilevel"/>
    <w:tmpl w:val="97BEE78A"/>
    <w:lvl w:ilvl="0" w:tplc="3342E51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F1EBE"/>
    <w:multiLevelType w:val="hybridMultilevel"/>
    <w:tmpl w:val="43CA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04508"/>
    <w:multiLevelType w:val="hybridMultilevel"/>
    <w:tmpl w:val="E2C4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84B3A79"/>
    <w:multiLevelType w:val="hybridMultilevel"/>
    <w:tmpl w:val="EA94C1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65180B"/>
    <w:multiLevelType w:val="hybridMultilevel"/>
    <w:tmpl w:val="14A6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B3978"/>
    <w:multiLevelType w:val="multilevel"/>
    <w:tmpl w:val="E1A4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221C3"/>
    <w:multiLevelType w:val="multilevel"/>
    <w:tmpl w:val="FFA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81EC0"/>
    <w:multiLevelType w:val="hybridMultilevel"/>
    <w:tmpl w:val="4E5462F4"/>
    <w:lvl w:ilvl="0" w:tplc="8A405780">
      <w:start w:val="1"/>
      <w:numFmt w:val="upperLetter"/>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21668FC"/>
    <w:multiLevelType w:val="hybridMultilevel"/>
    <w:tmpl w:val="3788BAF2"/>
    <w:lvl w:ilvl="0" w:tplc="5A806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A2EB6"/>
    <w:multiLevelType w:val="multilevel"/>
    <w:tmpl w:val="502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4C69BE"/>
    <w:multiLevelType w:val="multilevel"/>
    <w:tmpl w:val="CD60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D855AF"/>
    <w:multiLevelType w:val="multilevel"/>
    <w:tmpl w:val="B56C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2FF4"/>
    <w:multiLevelType w:val="hybridMultilevel"/>
    <w:tmpl w:val="A3E0427C"/>
    <w:lvl w:ilvl="0" w:tplc="CE7C267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507D7"/>
    <w:multiLevelType w:val="hybridMultilevel"/>
    <w:tmpl w:val="EA94C17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754E2B"/>
    <w:multiLevelType w:val="multilevel"/>
    <w:tmpl w:val="2A8C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40938"/>
    <w:multiLevelType w:val="hybridMultilevel"/>
    <w:tmpl w:val="EA94C17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C01A41"/>
    <w:multiLevelType w:val="hybridMultilevel"/>
    <w:tmpl w:val="AD3E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B11C1"/>
    <w:multiLevelType w:val="multilevel"/>
    <w:tmpl w:val="ACF2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2568F"/>
    <w:multiLevelType w:val="multilevel"/>
    <w:tmpl w:val="C226B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D5696"/>
    <w:multiLevelType w:val="hybridMultilevel"/>
    <w:tmpl w:val="4DD691D2"/>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614F98"/>
    <w:multiLevelType w:val="hybridMultilevel"/>
    <w:tmpl w:val="77D0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318B6"/>
    <w:multiLevelType w:val="hybridMultilevel"/>
    <w:tmpl w:val="6A5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A6ED1"/>
    <w:multiLevelType w:val="hybridMultilevel"/>
    <w:tmpl w:val="2998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C86FB9"/>
    <w:multiLevelType w:val="multilevel"/>
    <w:tmpl w:val="B11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F11450"/>
    <w:multiLevelType w:val="hybridMultilevel"/>
    <w:tmpl w:val="102CE1D2"/>
    <w:lvl w:ilvl="0" w:tplc="F29CDC2E">
      <w:start w:val="1"/>
      <w:numFmt w:val="decimal"/>
      <w:lvlText w:val="%1."/>
      <w:lvlJc w:val="left"/>
      <w:pPr>
        <w:ind w:left="720" w:hanging="360"/>
      </w:pPr>
      <w:rPr>
        <w:rFonts w:hint="default"/>
        <w:b/>
        <w:bCs w:val="0"/>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E0F86"/>
    <w:multiLevelType w:val="hybridMultilevel"/>
    <w:tmpl w:val="975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D29DB"/>
    <w:multiLevelType w:val="hybridMultilevel"/>
    <w:tmpl w:val="DB7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A277F"/>
    <w:multiLevelType w:val="hybridMultilevel"/>
    <w:tmpl w:val="9A149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07461"/>
    <w:multiLevelType w:val="hybridMultilevel"/>
    <w:tmpl w:val="79A074EA"/>
    <w:lvl w:ilvl="0" w:tplc="CB5ADEC6">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7D85CE"/>
    <w:multiLevelType w:val="hybridMultilevel"/>
    <w:tmpl w:val="21F0548A"/>
    <w:lvl w:ilvl="0" w:tplc="B142A37C">
      <w:start w:val="1"/>
      <w:numFmt w:val="bullet"/>
      <w:lvlText w:val=""/>
      <w:lvlJc w:val="left"/>
      <w:pPr>
        <w:ind w:left="720" w:hanging="360"/>
      </w:pPr>
      <w:rPr>
        <w:rFonts w:ascii="Symbol" w:hAnsi="Symbol" w:hint="default"/>
      </w:rPr>
    </w:lvl>
    <w:lvl w:ilvl="1" w:tplc="4EEAFC3E">
      <w:start w:val="1"/>
      <w:numFmt w:val="bullet"/>
      <w:lvlText w:val="o"/>
      <w:lvlJc w:val="left"/>
      <w:pPr>
        <w:ind w:left="1440" w:hanging="360"/>
      </w:pPr>
      <w:rPr>
        <w:rFonts w:ascii="Courier New" w:hAnsi="Courier New" w:hint="default"/>
      </w:rPr>
    </w:lvl>
    <w:lvl w:ilvl="2" w:tplc="6A0CAFE6">
      <w:start w:val="1"/>
      <w:numFmt w:val="bullet"/>
      <w:lvlText w:val=""/>
      <w:lvlJc w:val="left"/>
      <w:pPr>
        <w:ind w:left="2160" w:hanging="360"/>
      </w:pPr>
      <w:rPr>
        <w:rFonts w:ascii="Wingdings" w:hAnsi="Wingdings" w:hint="default"/>
      </w:rPr>
    </w:lvl>
    <w:lvl w:ilvl="3" w:tplc="A518FEAE">
      <w:start w:val="1"/>
      <w:numFmt w:val="bullet"/>
      <w:lvlText w:val=""/>
      <w:lvlJc w:val="left"/>
      <w:pPr>
        <w:ind w:left="2880" w:hanging="360"/>
      </w:pPr>
      <w:rPr>
        <w:rFonts w:ascii="Symbol" w:hAnsi="Symbol" w:hint="default"/>
      </w:rPr>
    </w:lvl>
    <w:lvl w:ilvl="4" w:tplc="FCDAE376">
      <w:start w:val="1"/>
      <w:numFmt w:val="bullet"/>
      <w:lvlText w:val="o"/>
      <w:lvlJc w:val="left"/>
      <w:pPr>
        <w:ind w:left="3600" w:hanging="360"/>
      </w:pPr>
      <w:rPr>
        <w:rFonts w:ascii="Courier New" w:hAnsi="Courier New" w:hint="default"/>
      </w:rPr>
    </w:lvl>
    <w:lvl w:ilvl="5" w:tplc="B42221BE">
      <w:start w:val="1"/>
      <w:numFmt w:val="bullet"/>
      <w:lvlText w:val=""/>
      <w:lvlJc w:val="left"/>
      <w:pPr>
        <w:ind w:left="4320" w:hanging="360"/>
      </w:pPr>
      <w:rPr>
        <w:rFonts w:ascii="Wingdings" w:hAnsi="Wingdings" w:hint="default"/>
      </w:rPr>
    </w:lvl>
    <w:lvl w:ilvl="6" w:tplc="BF7EBDE8">
      <w:start w:val="1"/>
      <w:numFmt w:val="bullet"/>
      <w:lvlText w:val=""/>
      <w:lvlJc w:val="left"/>
      <w:pPr>
        <w:ind w:left="5040" w:hanging="360"/>
      </w:pPr>
      <w:rPr>
        <w:rFonts w:ascii="Symbol" w:hAnsi="Symbol" w:hint="default"/>
      </w:rPr>
    </w:lvl>
    <w:lvl w:ilvl="7" w:tplc="1580193C">
      <w:start w:val="1"/>
      <w:numFmt w:val="bullet"/>
      <w:lvlText w:val="o"/>
      <w:lvlJc w:val="left"/>
      <w:pPr>
        <w:ind w:left="5760" w:hanging="360"/>
      </w:pPr>
      <w:rPr>
        <w:rFonts w:ascii="Courier New" w:hAnsi="Courier New" w:hint="default"/>
      </w:rPr>
    </w:lvl>
    <w:lvl w:ilvl="8" w:tplc="6A1625DA">
      <w:start w:val="1"/>
      <w:numFmt w:val="bullet"/>
      <w:lvlText w:val=""/>
      <w:lvlJc w:val="left"/>
      <w:pPr>
        <w:ind w:left="6480" w:hanging="360"/>
      </w:pPr>
      <w:rPr>
        <w:rFonts w:ascii="Wingdings" w:hAnsi="Wingdings" w:hint="default"/>
      </w:rPr>
    </w:lvl>
  </w:abstractNum>
  <w:abstractNum w:abstractNumId="36" w15:restartNumberingAfterBreak="0">
    <w:nsid w:val="756153D9"/>
    <w:multiLevelType w:val="hybridMultilevel"/>
    <w:tmpl w:val="5822A23A"/>
    <w:lvl w:ilvl="0" w:tplc="BFE681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98D516"/>
    <w:multiLevelType w:val="hybridMultilevel"/>
    <w:tmpl w:val="849267E2"/>
    <w:lvl w:ilvl="0" w:tplc="C4C4169A">
      <w:start w:val="1"/>
      <w:numFmt w:val="bullet"/>
      <w:lvlText w:val=""/>
      <w:lvlJc w:val="left"/>
      <w:pPr>
        <w:ind w:left="720" w:hanging="360"/>
      </w:pPr>
      <w:rPr>
        <w:rFonts w:ascii="Symbol" w:hAnsi="Symbol" w:hint="default"/>
      </w:rPr>
    </w:lvl>
    <w:lvl w:ilvl="1" w:tplc="6D62BA2C">
      <w:start w:val="1"/>
      <w:numFmt w:val="bullet"/>
      <w:lvlText w:val="o"/>
      <w:lvlJc w:val="left"/>
      <w:pPr>
        <w:ind w:left="1440" w:hanging="360"/>
      </w:pPr>
      <w:rPr>
        <w:rFonts w:ascii="Courier New" w:hAnsi="Courier New" w:hint="default"/>
      </w:rPr>
    </w:lvl>
    <w:lvl w:ilvl="2" w:tplc="C90ED886">
      <w:start w:val="1"/>
      <w:numFmt w:val="bullet"/>
      <w:lvlText w:val=""/>
      <w:lvlJc w:val="left"/>
      <w:pPr>
        <w:ind w:left="2160" w:hanging="360"/>
      </w:pPr>
      <w:rPr>
        <w:rFonts w:ascii="Wingdings" w:hAnsi="Wingdings" w:hint="default"/>
      </w:rPr>
    </w:lvl>
    <w:lvl w:ilvl="3" w:tplc="38C09318">
      <w:start w:val="1"/>
      <w:numFmt w:val="bullet"/>
      <w:lvlText w:val=""/>
      <w:lvlJc w:val="left"/>
      <w:pPr>
        <w:ind w:left="2880" w:hanging="360"/>
      </w:pPr>
      <w:rPr>
        <w:rFonts w:ascii="Symbol" w:hAnsi="Symbol" w:hint="default"/>
      </w:rPr>
    </w:lvl>
    <w:lvl w:ilvl="4" w:tplc="7226B772">
      <w:start w:val="1"/>
      <w:numFmt w:val="bullet"/>
      <w:lvlText w:val="o"/>
      <w:lvlJc w:val="left"/>
      <w:pPr>
        <w:ind w:left="3600" w:hanging="360"/>
      </w:pPr>
      <w:rPr>
        <w:rFonts w:ascii="Courier New" w:hAnsi="Courier New" w:hint="default"/>
      </w:rPr>
    </w:lvl>
    <w:lvl w:ilvl="5" w:tplc="0542F9AC">
      <w:start w:val="1"/>
      <w:numFmt w:val="bullet"/>
      <w:lvlText w:val=""/>
      <w:lvlJc w:val="left"/>
      <w:pPr>
        <w:ind w:left="4320" w:hanging="360"/>
      </w:pPr>
      <w:rPr>
        <w:rFonts w:ascii="Wingdings" w:hAnsi="Wingdings" w:hint="default"/>
      </w:rPr>
    </w:lvl>
    <w:lvl w:ilvl="6" w:tplc="CCF6745C">
      <w:start w:val="1"/>
      <w:numFmt w:val="bullet"/>
      <w:lvlText w:val=""/>
      <w:lvlJc w:val="left"/>
      <w:pPr>
        <w:ind w:left="5040" w:hanging="360"/>
      </w:pPr>
      <w:rPr>
        <w:rFonts w:ascii="Symbol" w:hAnsi="Symbol" w:hint="default"/>
      </w:rPr>
    </w:lvl>
    <w:lvl w:ilvl="7" w:tplc="731435A2">
      <w:start w:val="1"/>
      <w:numFmt w:val="bullet"/>
      <w:lvlText w:val="o"/>
      <w:lvlJc w:val="left"/>
      <w:pPr>
        <w:ind w:left="5760" w:hanging="360"/>
      </w:pPr>
      <w:rPr>
        <w:rFonts w:ascii="Courier New" w:hAnsi="Courier New" w:hint="default"/>
      </w:rPr>
    </w:lvl>
    <w:lvl w:ilvl="8" w:tplc="022ED74A">
      <w:start w:val="1"/>
      <w:numFmt w:val="bullet"/>
      <w:lvlText w:val=""/>
      <w:lvlJc w:val="left"/>
      <w:pPr>
        <w:ind w:left="6480" w:hanging="360"/>
      </w:pPr>
      <w:rPr>
        <w:rFonts w:ascii="Wingdings" w:hAnsi="Wingdings" w:hint="default"/>
      </w:rPr>
    </w:lvl>
  </w:abstractNum>
  <w:abstractNum w:abstractNumId="38" w15:restartNumberingAfterBreak="0">
    <w:nsid w:val="764F14F8"/>
    <w:multiLevelType w:val="multilevel"/>
    <w:tmpl w:val="20C8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640A4C"/>
    <w:multiLevelType w:val="multilevel"/>
    <w:tmpl w:val="9110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A54AD"/>
    <w:multiLevelType w:val="hybridMultilevel"/>
    <w:tmpl w:val="835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976529">
    <w:abstractNumId w:val="35"/>
  </w:num>
  <w:num w:numId="2" w16cid:durableId="1738749724">
    <w:abstractNumId w:val="0"/>
  </w:num>
  <w:num w:numId="3" w16cid:durableId="1127166082">
    <w:abstractNumId w:val="6"/>
  </w:num>
  <w:num w:numId="4" w16cid:durableId="1306280896">
    <w:abstractNumId w:val="20"/>
  </w:num>
  <w:num w:numId="5" w16cid:durableId="1112943975">
    <w:abstractNumId w:val="30"/>
  </w:num>
  <w:num w:numId="6" w16cid:durableId="544874167">
    <w:abstractNumId w:val="34"/>
  </w:num>
  <w:num w:numId="7" w16cid:durableId="148837881">
    <w:abstractNumId w:val="16"/>
  </w:num>
  <w:num w:numId="8" w16cid:durableId="1425682565">
    <w:abstractNumId w:val="4"/>
  </w:num>
  <w:num w:numId="9" w16cid:durableId="80756936">
    <w:abstractNumId w:val="1"/>
  </w:num>
  <w:num w:numId="10" w16cid:durableId="1812669740">
    <w:abstractNumId w:val="17"/>
  </w:num>
  <w:num w:numId="11" w16cid:durableId="2068722538">
    <w:abstractNumId w:val="14"/>
  </w:num>
  <w:num w:numId="12" w16cid:durableId="994845519">
    <w:abstractNumId w:val="15"/>
  </w:num>
  <w:num w:numId="13" w16cid:durableId="681319937">
    <w:abstractNumId w:val="23"/>
  </w:num>
  <w:num w:numId="14" w16cid:durableId="526331483">
    <w:abstractNumId w:val="19"/>
  </w:num>
  <w:num w:numId="15" w16cid:durableId="962267699">
    <w:abstractNumId w:val="33"/>
  </w:num>
  <w:num w:numId="16" w16cid:durableId="2093892062">
    <w:abstractNumId w:val="25"/>
  </w:num>
  <w:num w:numId="17" w16cid:durableId="1905215983">
    <w:abstractNumId w:val="12"/>
  </w:num>
  <w:num w:numId="18" w16cid:durableId="436798196">
    <w:abstractNumId w:val="40"/>
  </w:num>
  <w:num w:numId="19" w16cid:durableId="1462112230">
    <w:abstractNumId w:val="37"/>
  </w:num>
  <w:num w:numId="20" w16cid:durableId="1978607835">
    <w:abstractNumId w:val="7"/>
  </w:num>
  <w:num w:numId="21" w16cid:durableId="2069179731">
    <w:abstractNumId w:val="18"/>
  </w:num>
  <w:num w:numId="22" w16cid:durableId="1344361831">
    <w:abstractNumId w:val="21"/>
  </w:num>
  <w:num w:numId="23" w16cid:durableId="1437403896">
    <w:abstractNumId w:val="11"/>
  </w:num>
  <w:num w:numId="24" w16cid:durableId="1299922824">
    <w:abstractNumId w:val="11"/>
  </w:num>
  <w:num w:numId="25" w16cid:durableId="246306430">
    <w:abstractNumId w:val="11"/>
    <w:lvlOverride w:ilvl="0">
      <w:startOverride w:val="1"/>
    </w:lvlOverride>
  </w:num>
  <w:num w:numId="26" w16cid:durableId="1652753897">
    <w:abstractNumId w:val="11"/>
  </w:num>
  <w:num w:numId="27" w16cid:durableId="1148282000">
    <w:abstractNumId w:val="11"/>
    <w:lvlOverride w:ilvl="0">
      <w:startOverride w:val="1"/>
    </w:lvlOverride>
  </w:num>
  <w:num w:numId="28" w16cid:durableId="213545036">
    <w:abstractNumId w:val="36"/>
  </w:num>
  <w:num w:numId="29" w16cid:durableId="863129165">
    <w:abstractNumId w:val="11"/>
    <w:lvlOverride w:ilvl="0">
      <w:startOverride w:val="1"/>
    </w:lvlOverride>
  </w:num>
  <w:num w:numId="30" w16cid:durableId="1118792733">
    <w:abstractNumId w:val="31"/>
  </w:num>
  <w:num w:numId="31" w16cid:durableId="1406414534">
    <w:abstractNumId w:val="8"/>
  </w:num>
  <w:num w:numId="32" w16cid:durableId="1001273222">
    <w:abstractNumId w:val="11"/>
    <w:lvlOverride w:ilvl="0">
      <w:startOverride w:val="1"/>
    </w:lvlOverride>
  </w:num>
  <w:num w:numId="33" w16cid:durableId="2074346753">
    <w:abstractNumId w:val="29"/>
  </w:num>
  <w:num w:numId="34" w16cid:durableId="1899894271">
    <w:abstractNumId w:val="13"/>
  </w:num>
  <w:num w:numId="35" w16cid:durableId="1035421500">
    <w:abstractNumId w:val="39"/>
  </w:num>
  <w:num w:numId="36" w16cid:durableId="1674184714">
    <w:abstractNumId w:val="2"/>
  </w:num>
  <w:num w:numId="37" w16cid:durableId="1240478820">
    <w:abstractNumId w:val="10"/>
  </w:num>
  <w:num w:numId="38" w16cid:durableId="1435900137">
    <w:abstractNumId w:val="9"/>
  </w:num>
  <w:num w:numId="39" w16cid:durableId="864053183">
    <w:abstractNumId w:val="24"/>
  </w:num>
  <w:num w:numId="40" w16cid:durableId="335960826">
    <w:abstractNumId w:val="32"/>
  </w:num>
  <w:num w:numId="41" w16cid:durableId="1161048490">
    <w:abstractNumId w:val="28"/>
  </w:num>
  <w:num w:numId="42" w16cid:durableId="299506894">
    <w:abstractNumId w:val="26"/>
  </w:num>
  <w:num w:numId="43" w16cid:durableId="98723169">
    <w:abstractNumId w:val="5"/>
  </w:num>
  <w:num w:numId="44" w16cid:durableId="754474845">
    <w:abstractNumId w:val="22"/>
  </w:num>
  <w:num w:numId="45" w16cid:durableId="389769970">
    <w:abstractNumId w:val="3"/>
  </w:num>
  <w:num w:numId="46" w16cid:durableId="1796678983">
    <w:abstractNumId w:val="38"/>
  </w:num>
  <w:num w:numId="47" w16cid:durableId="1040477544">
    <w:abstractNumId w:val="11"/>
  </w:num>
  <w:num w:numId="48" w16cid:durableId="483934657">
    <w:abstractNumId w:val="11"/>
    <w:lvlOverride w:ilvl="0">
      <w:startOverride w:val="1"/>
    </w:lvlOverride>
  </w:num>
  <w:num w:numId="49" w16cid:durableId="657995588">
    <w:abstractNumId w:val="11"/>
  </w:num>
  <w:num w:numId="50" w16cid:durableId="1676420644">
    <w:abstractNumId w:val="11"/>
  </w:num>
  <w:num w:numId="51" w16cid:durableId="106610013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43E7"/>
    <w:rsid w:val="0000637C"/>
    <w:rsid w:val="00007FB8"/>
    <w:rsid w:val="00011C78"/>
    <w:rsid w:val="00012E6F"/>
    <w:rsid w:val="000315D3"/>
    <w:rsid w:val="00033BBA"/>
    <w:rsid w:val="00036E41"/>
    <w:rsid w:val="00043FD4"/>
    <w:rsid w:val="00045716"/>
    <w:rsid w:val="00047795"/>
    <w:rsid w:val="00051027"/>
    <w:rsid w:val="00051BED"/>
    <w:rsid w:val="00051DE1"/>
    <w:rsid w:val="00055E2A"/>
    <w:rsid w:val="00055F5B"/>
    <w:rsid w:val="000611D4"/>
    <w:rsid w:val="00062B08"/>
    <w:rsid w:val="00067954"/>
    <w:rsid w:val="00067DBB"/>
    <w:rsid w:val="0006E65E"/>
    <w:rsid w:val="00070CA5"/>
    <w:rsid w:val="0007146F"/>
    <w:rsid w:val="00071A06"/>
    <w:rsid w:val="00072DE4"/>
    <w:rsid w:val="00073DF0"/>
    <w:rsid w:val="000761CC"/>
    <w:rsid w:val="000808E0"/>
    <w:rsid w:val="000820D4"/>
    <w:rsid w:val="000827E6"/>
    <w:rsid w:val="0008443B"/>
    <w:rsid w:val="0008486D"/>
    <w:rsid w:val="00084CD1"/>
    <w:rsid w:val="0009525C"/>
    <w:rsid w:val="000973B5"/>
    <w:rsid w:val="000A1BA6"/>
    <w:rsid w:val="000A72E1"/>
    <w:rsid w:val="000B01A8"/>
    <w:rsid w:val="000B0C45"/>
    <w:rsid w:val="000B263F"/>
    <w:rsid w:val="000C11FF"/>
    <w:rsid w:val="000C18C2"/>
    <w:rsid w:val="000C43D4"/>
    <w:rsid w:val="000C5C7F"/>
    <w:rsid w:val="000C66CE"/>
    <w:rsid w:val="000C7378"/>
    <w:rsid w:val="000D07E2"/>
    <w:rsid w:val="000D0EF7"/>
    <w:rsid w:val="000D2DDA"/>
    <w:rsid w:val="000D33B3"/>
    <w:rsid w:val="000D39F8"/>
    <w:rsid w:val="000D6D74"/>
    <w:rsid w:val="000E0199"/>
    <w:rsid w:val="000E108D"/>
    <w:rsid w:val="000E2108"/>
    <w:rsid w:val="000E50F6"/>
    <w:rsid w:val="000E7303"/>
    <w:rsid w:val="000F02E0"/>
    <w:rsid w:val="000F08C1"/>
    <w:rsid w:val="000F3E90"/>
    <w:rsid w:val="000F4C1A"/>
    <w:rsid w:val="000F5A75"/>
    <w:rsid w:val="000F75EB"/>
    <w:rsid w:val="0010164D"/>
    <w:rsid w:val="00105CE1"/>
    <w:rsid w:val="00111AE4"/>
    <w:rsid w:val="00112851"/>
    <w:rsid w:val="001128BC"/>
    <w:rsid w:val="00121844"/>
    <w:rsid w:val="00121DCC"/>
    <w:rsid w:val="0012202F"/>
    <w:rsid w:val="00123DF3"/>
    <w:rsid w:val="001242B7"/>
    <w:rsid w:val="00124A37"/>
    <w:rsid w:val="00126559"/>
    <w:rsid w:val="00127277"/>
    <w:rsid w:val="00134573"/>
    <w:rsid w:val="00136BB3"/>
    <w:rsid w:val="00137E36"/>
    <w:rsid w:val="00140BAE"/>
    <w:rsid w:val="00141C4E"/>
    <w:rsid w:val="00144555"/>
    <w:rsid w:val="001450C8"/>
    <w:rsid w:val="00145EE0"/>
    <w:rsid w:val="00150397"/>
    <w:rsid w:val="001506C8"/>
    <w:rsid w:val="00153CDB"/>
    <w:rsid w:val="00154AA2"/>
    <w:rsid w:val="00156F86"/>
    <w:rsid w:val="001655CC"/>
    <w:rsid w:val="001701E4"/>
    <w:rsid w:val="001704EC"/>
    <w:rsid w:val="00170893"/>
    <w:rsid w:val="0017095D"/>
    <w:rsid w:val="0017401A"/>
    <w:rsid w:val="00175AC8"/>
    <w:rsid w:val="001830F1"/>
    <w:rsid w:val="001843DA"/>
    <w:rsid w:val="00185D7E"/>
    <w:rsid w:val="00186B31"/>
    <w:rsid w:val="00190CE6"/>
    <w:rsid w:val="00192E91"/>
    <w:rsid w:val="00192EC3"/>
    <w:rsid w:val="00195BBC"/>
    <w:rsid w:val="001A7CDE"/>
    <w:rsid w:val="001B0158"/>
    <w:rsid w:val="001B62B4"/>
    <w:rsid w:val="001B73B0"/>
    <w:rsid w:val="001C1AB1"/>
    <w:rsid w:val="001C3CA4"/>
    <w:rsid w:val="001C6B9F"/>
    <w:rsid w:val="001D0005"/>
    <w:rsid w:val="001D36A7"/>
    <w:rsid w:val="001E163A"/>
    <w:rsid w:val="001E27BC"/>
    <w:rsid w:val="001E4A86"/>
    <w:rsid w:val="001E4D8B"/>
    <w:rsid w:val="001E4ED9"/>
    <w:rsid w:val="001E5A9B"/>
    <w:rsid w:val="001E615A"/>
    <w:rsid w:val="001E72D0"/>
    <w:rsid w:val="001E7CE5"/>
    <w:rsid w:val="001F02F7"/>
    <w:rsid w:val="001F10A3"/>
    <w:rsid w:val="001F3694"/>
    <w:rsid w:val="001F4520"/>
    <w:rsid w:val="001F50D6"/>
    <w:rsid w:val="001F7499"/>
    <w:rsid w:val="001F7E2B"/>
    <w:rsid w:val="00202D6F"/>
    <w:rsid w:val="002034CE"/>
    <w:rsid w:val="00203640"/>
    <w:rsid w:val="002051A6"/>
    <w:rsid w:val="0020783C"/>
    <w:rsid w:val="0021424E"/>
    <w:rsid w:val="00222EFE"/>
    <w:rsid w:val="00226C98"/>
    <w:rsid w:val="00227FD1"/>
    <w:rsid w:val="0023016C"/>
    <w:rsid w:val="00231426"/>
    <w:rsid w:val="0023146A"/>
    <w:rsid w:val="00237663"/>
    <w:rsid w:val="00240BF2"/>
    <w:rsid w:val="00241042"/>
    <w:rsid w:val="002422F4"/>
    <w:rsid w:val="00242DF5"/>
    <w:rsid w:val="00246B62"/>
    <w:rsid w:val="00247124"/>
    <w:rsid w:val="0024842F"/>
    <w:rsid w:val="00253FEB"/>
    <w:rsid w:val="00255F4B"/>
    <w:rsid w:val="0026009B"/>
    <w:rsid w:val="002613B5"/>
    <w:rsid w:val="00261648"/>
    <w:rsid w:val="00262C1E"/>
    <w:rsid w:val="00267F02"/>
    <w:rsid w:val="00271F65"/>
    <w:rsid w:val="002727CB"/>
    <w:rsid w:val="00280187"/>
    <w:rsid w:val="0028086A"/>
    <w:rsid w:val="002827EE"/>
    <w:rsid w:val="002850D7"/>
    <w:rsid w:val="00286EB7"/>
    <w:rsid w:val="0028787B"/>
    <w:rsid w:val="0029219F"/>
    <w:rsid w:val="002928B8"/>
    <w:rsid w:val="00294A39"/>
    <w:rsid w:val="002A6C3D"/>
    <w:rsid w:val="002B3258"/>
    <w:rsid w:val="002B558B"/>
    <w:rsid w:val="002B647C"/>
    <w:rsid w:val="002B6F54"/>
    <w:rsid w:val="002C479C"/>
    <w:rsid w:val="002C7F5D"/>
    <w:rsid w:val="002D0FB3"/>
    <w:rsid w:val="002D252C"/>
    <w:rsid w:val="002D7503"/>
    <w:rsid w:val="002D7592"/>
    <w:rsid w:val="002D7F93"/>
    <w:rsid w:val="002E2E1F"/>
    <w:rsid w:val="002E7899"/>
    <w:rsid w:val="002F0F56"/>
    <w:rsid w:val="003007CF"/>
    <w:rsid w:val="003022AF"/>
    <w:rsid w:val="003056E8"/>
    <w:rsid w:val="00306CE7"/>
    <w:rsid w:val="00311EF4"/>
    <w:rsid w:val="00321E10"/>
    <w:rsid w:val="00322CFA"/>
    <w:rsid w:val="00322F97"/>
    <w:rsid w:val="0032464C"/>
    <w:rsid w:val="00327376"/>
    <w:rsid w:val="00335402"/>
    <w:rsid w:val="00336974"/>
    <w:rsid w:val="00340920"/>
    <w:rsid w:val="00340D84"/>
    <w:rsid w:val="00345D80"/>
    <w:rsid w:val="003469EC"/>
    <w:rsid w:val="00346D77"/>
    <w:rsid w:val="00347503"/>
    <w:rsid w:val="003500B7"/>
    <w:rsid w:val="00352028"/>
    <w:rsid w:val="00354658"/>
    <w:rsid w:val="00356404"/>
    <w:rsid w:val="003616B5"/>
    <w:rsid w:val="00366713"/>
    <w:rsid w:val="00366838"/>
    <w:rsid w:val="0036754E"/>
    <w:rsid w:val="00370D8B"/>
    <w:rsid w:val="00371F03"/>
    <w:rsid w:val="003746CA"/>
    <w:rsid w:val="0037539A"/>
    <w:rsid w:val="003804CE"/>
    <w:rsid w:val="003810F0"/>
    <w:rsid w:val="0038267F"/>
    <w:rsid w:val="003848C8"/>
    <w:rsid w:val="0038783C"/>
    <w:rsid w:val="00391DCB"/>
    <w:rsid w:val="0039458A"/>
    <w:rsid w:val="00395BC8"/>
    <w:rsid w:val="00397A6D"/>
    <w:rsid w:val="003A401B"/>
    <w:rsid w:val="003A660A"/>
    <w:rsid w:val="003A6DF3"/>
    <w:rsid w:val="003B308F"/>
    <w:rsid w:val="003B3294"/>
    <w:rsid w:val="003B3C8C"/>
    <w:rsid w:val="003B5316"/>
    <w:rsid w:val="003C2691"/>
    <w:rsid w:val="003C2940"/>
    <w:rsid w:val="003C44A0"/>
    <w:rsid w:val="003C73CC"/>
    <w:rsid w:val="003C7A37"/>
    <w:rsid w:val="003C7D55"/>
    <w:rsid w:val="003D07CC"/>
    <w:rsid w:val="003D283B"/>
    <w:rsid w:val="003D398C"/>
    <w:rsid w:val="003D5CF2"/>
    <w:rsid w:val="003E3F81"/>
    <w:rsid w:val="003E450C"/>
    <w:rsid w:val="003E5565"/>
    <w:rsid w:val="003F04E5"/>
    <w:rsid w:val="003F7E0A"/>
    <w:rsid w:val="004020DD"/>
    <w:rsid w:val="004069E9"/>
    <w:rsid w:val="00410A1B"/>
    <w:rsid w:val="00412303"/>
    <w:rsid w:val="00414319"/>
    <w:rsid w:val="0041614B"/>
    <w:rsid w:val="004207AA"/>
    <w:rsid w:val="00421BB6"/>
    <w:rsid w:val="00422A9A"/>
    <w:rsid w:val="004302B8"/>
    <w:rsid w:val="00433650"/>
    <w:rsid w:val="004337FB"/>
    <w:rsid w:val="00434B23"/>
    <w:rsid w:val="004353D9"/>
    <w:rsid w:val="00437378"/>
    <w:rsid w:val="004373BE"/>
    <w:rsid w:val="00441471"/>
    <w:rsid w:val="00450067"/>
    <w:rsid w:val="00450499"/>
    <w:rsid w:val="00450FEB"/>
    <w:rsid w:val="00451E77"/>
    <w:rsid w:val="00462AA7"/>
    <w:rsid w:val="00464CF0"/>
    <w:rsid w:val="00467BCA"/>
    <w:rsid w:val="00470184"/>
    <w:rsid w:val="00471D88"/>
    <w:rsid w:val="00475CF1"/>
    <w:rsid w:val="00477C1E"/>
    <w:rsid w:val="00480797"/>
    <w:rsid w:val="00483526"/>
    <w:rsid w:val="0048649B"/>
    <w:rsid w:val="00486FBC"/>
    <w:rsid w:val="004908E8"/>
    <w:rsid w:val="00490EB6"/>
    <w:rsid w:val="004938BE"/>
    <w:rsid w:val="004963E0"/>
    <w:rsid w:val="004967EC"/>
    <w:rsid w:val="004973AC"/>
    <w:rsid w:val="004A4572"/>
    <w:rsid w:val="004A75B2"/>
    <w:rsid w:val="004B0609"/>
    <w:rsid w:val="004B09FD"/>
    <w:rsid w:val="004B44C5"/>
    <w:rsid w:val="004B4B26"/>
    <w:rsid w:val="004B724C"/>
    <w:rsid w:val="004B7F70"/>
    <w:rsid w:val="004C1678"/>
    <w:rsid w:val="004C1E52"/>
    <w:rsid w:val="004C1EC8"/>
    <w:rsid w:val="004C62DA"/>
    <w:rsid w:val="004D1831"/>
    <w:rsid w:val="004D257C"/>
    <w:rsid w:val="004D48A8"/>
    <w:rsid w:val="004D5F3B"/>
    <w:rsid w:val="004D628A"/>
    <w:rsid w:val="004E09F8"/>
    <w:rsid w:val="004E28E7"/>
    <w:rsid w:val="004E631F"/>
    <w:rsid w:val="004F2828"/>
    <w:rsid w:val="004F38B2"/>
    <w:rsid w:val="004F426D"/>
    <w:rsid w:val="004F43FB"/>
    <w:rsid w:val="004F4A02"/>
    <w:rsid w:val="00501C82"/>
    <w:rsid w:val="00504782"/>
    <w:rsid w:val="00510E20"/>
    <w:rsid w:val="00511248"/>
    <w:rsid w:val="00512CE1"/>
    <w:rsid w:val="0051463C"/>
    <w:rsid w:val="00515D01"/>
    <w:rsid w:val="00520237"/>
    <w:rsid w:val="005205D1"/>
    <w:rsid w:val="005209D5"/>
    <w:rsid w:val="005217AD"/>
    <w:rsid w:val="0052237E"/>
    <w:rsid w:val="005347D1"/>
    <w:rsid w:val="00534F2C"/>
    <w:rsid w:val="00535AE4"/>
    <w:rsid w:val="005423E1"/>
    <w:rsid w:val="005442D8"/>
    <w:rsid w:val="005578F2"/>
    <w:rsid w:val="005632A5"/>
    <w:rsid w:val="005666DF"/>
    <w:rsid w:val="00567F2D"/>
    <w:rsid w:val="00573A0F"/>
    <w:rsid w:val="005766C9"/>
    <w:rsid w:val="00580C45"/>
    <w:rsid w:val="00582425"/>
    <w:rsid w:val="00582462"/>
    <w:rsid w:val="0058297B"/>
    <w:rsid w:val="0058305C"/>
    <w:rsid w:val="00585580"/>
    <w:rsid w:val="00586E7E"/>
    <w:rsid w:val="005871E4"/>
    <w:rsid w:val="00592FC5"/>
    <w:rsid w:val="005957FD"/>
    <w:rsid w:val="0059703B"/>
    <w:rsid w:val="005A3828"/>
    <w:rsid w:val="005A393B"/>
    <w:rsid w:val="005A6DE9"/>
    <w:rsid w:val="005A7820"/>
    <w:rsid w:val="005A78C7"/>
    <w:rsid w:val="005B51A0"/>
    <w:rsid w:val="005B5549"/>
    <w:rsid w:val="005C0837"/>
    <w:rsid w:val="005C0BE9"/>
    <w:rsid w:val="005C6370"/>
    <w:rsid w:val="005C6610"/>
    <w:rsid w:val="005C762D"/>
    <w:rsid w:val="005C7E8C"/>
    <w:rsid w:val="005D143E"/>
    <w:rsid w:val="005D4123"/>
    <w:rsid w:val="005E397C"/>
    <w:rsid w:val="005E65C1"/>
    <w:rsid w:val="005E72E5"/>
    <w:rsid w:val="005F3154"/>
    <w:rsid w:val="005F339C"/>
    <w:rsid w:val="005F6496"/>
    <w:rsid w:val="005F6633"/>
    <w:rsid w:val="005F760D"/>
    <w:rsid w:val="00601833"/>
    <w:rsid w:val="0060190B"/>
    <w:rsid w:val="00602C08"/>
    <w:rsid w:val="00605F5E"/>
    <w:rsid w:val="00612DF3"/>
    <w:rsid w:val="00613A5B"/>
    <w:rsid w:val="00613B45"/>
    <w:rsid w:val="00614107"/>
    <w:rsid w:val="00621D0C"/>
    <w:rsid w:val="006229DC"/>
    <w:rsid w:val="00623536"/>
    <w:rsid w:val="00623C30"/>
    <w:rsid w:val="00623F24"/>
    <w:rsid w:val="006243D7"/>
    <w:rsid w:val="00624593"/>
    <w:rsid w:val="00627E13"/>
    <w:rsid w:val="00630889"/>
    <w:rsid w:val="00640555"/>
    <w:rsid w:val="006412A9"/>
    <w:rsid w:val="006456B4"/>
    <w:rsid w:val="006459AD"/>
    <w:rsid w:val="00650B05"/>
    <w:rsid w:val="00655CA7"/>
    <w:rsid w:val="0065759F"/>
    <w:rsid w:val="00662D79"/>
    <w:rsid w:val="00664ABD"/>
    <w:rsid w:val="00666E85"/>
    <w:rsid w:val="00671E06"/>
    <w:rsid w:val="00673E68"/>
    <w:rsid w:val="00680976"/>
    <w:rsid w:val="00681544"/>
    <w:rsid w:val="006815D4"/>
    <w:rsid w:val="00682FB0"/>
    <w:rsid w:val="006851FF"/>
    <w:rsid w:val="00687FAC"/>
    <w:rsid w:val="00691C83"/>
    <w:rsid w:val="0069450B"/>
    <w:rsid w:val="006945B9"/>
    <w:rsid w:val="00695F51"/>
    <w:rsid w:val="006A2993"/>
    <w:rsid w:val="006A2C15"/>
    <w:rsid w:val="006A350E"/>
    <w:rsid w:val="006A51F0"/>
    <w:rsid w:val="006A6F80"/>
    <w:rsid w:val="006B1FA8"/>
    <w:rsid w:val="006B5268"/>
    <w:rsid w:val="006B5F14"/>
    <w:rsid w:val="006C0051"/>
    <w:rsid w:val="006C2F7E"/>
    <w:rsid w:val="006C3007"/>
    <w:rsid w:val="006C327F"/>
    <w:rsid w:val="006C3FD0"/>
    <w:rsid w:val="006C41E2"/>
    <w:rsid w:val="006C7E0B"/>
    <w:rsid w:val="006D1240"/>
    <w:rsid w:val="006D1519"/>
    <w:rsid w:val="006D1879"/>
    <w:rsid w:val="006D3E50"/>
    <w:rsid w:val="006D5324"/>
    <w:rsid w:val="006D769C"/>
    <w:rsid w:val="006E5C7B"/>
    <w:rsid w:val="006E6E6F"/>
    <w:rsid w:val="006E6F23"/>
    <w:rsid w:val="006F1915"/>
    <w:rsid w:val="006F5B23"/>
    <w:rsid w:val="006F604C"/>
    <w:rsid w:val="0070353A"/>
    <w:rsid w:val="0070704F"/>
    <w:rsid w:val="00711162"/>
    <w:rsid w:val="00711226"/>
    <w:rsid w:val="00711655"/>
    <w:rsid w:val="00716920"/>
    <w:rsid w:val="00725154"/>
    <w:rsid w:val="007318DA"/>
    <w:rsid w:val="0073463F"/>
    <w:rsid w:val="007361D7"/>
    <w:rsid w:val="007439D0"/>
    <w:rsid w:val="00743E5F"/>
    <w:rsid w:val="0074533D"/>
    <w:rsid w:val="00745C93"/>
    <w:rsid w:val="0074629B"/>
    <w:rsid w:val="007472D1"/>
    <w:rsid w:val="007527B1"/>
    <w:rsid w:val="00760616"/>
    <w:rsid w:val="007619D0"/>
    <w:rsid w:val="00761A45"/>
    <w:rsid w:val="00761B2A"/>
    <w:rsid w:val="007627D2"/>
    <w:rsid w:val="007630BD"/>
    <w:rsid w:val="00763A80"/>
    <w:rsid w:val="007651E6"/>
    <w:rsid w:val="0076697A"/>
    <w:rsid w:val="00767577"/>
    <w:rsid w:val="007737C3"/>
    <w:rsid w:val="007742BC"/>
    <w:rsid w:val="007755FC"/>
    <w:rsid w:val="00775EB1"/>
    <w:rsid w:val="0077606E"/>
    <w:rsid w:val="00781145"/>
    <w:rsid w:val="00782DD0"/>
    <w:rsid w:val="00785670"/>
    <w:rsid w:val="00785C9E"/>
    <w:rsid w:val="00785F0F"/>
    <w:rsid w:val="007922E0"/>
    <w:rsid w:val="00792FDE"/>
    <w:rsid w:val="00793D50"/>
    <w:rsid w:val="00794CC5"/>
    <w:rsid w:val="007968B9"/>
    <w:rsid w:val="00796D0F"/>
    <w:rsid w:val="007A149A"/>
    <w:rsid w:val="007A2B0F"/>
    <w:rsid w:val="007A6CD1"/>
    <w:rsid w:val="007A791F"/>
    <w:rsid w:val="007B505F"/>
    <w:rsid w:val="007B6242"/>
    <w:rsid w:val="007B73E4"/>
    <w:rsid w:val="007C4DA5"/>
    <w:rsid w:val="007C505B"/>
    <w:rsid w:val="007C5E12"/>
    <w:rsid w:val="007C7462"/>
    <w:rsid w:val="007D0FF6"/>
    <w:rsid w:val="007D1E1D"/>
    <w:rsid w:val="007D37C9"/>
    <w:rsid w:val="007D4780"/>
    <w:rsid w:val="007D4D2F"/>
    <w:rsid w:val="007D6AC4"/>
    <w:rsid w:val="007D7B74"/>
    <w:rsid w:val="007E0D93"/>
    <w:rsid w:val="007E1C2B"/>
    <w:rsid w:val="007E2F5F"/>
    <w:rsid w:val="007E5996"/>
    <w:rsid w:val="007F0421"/>
    <w:rsid w:val="007F31A6"/>
    <w:rsid w:val="007F3501"/>
    <w:rsid w:val="007F5051"/>
    <w:rsid w:val="007F5106"/>
    <w:rsid w:val="007F74F8"/>
    <w:rsid w:val="007F7BFA"/>
    <w:rsid w:val="00800406"/>
    <w:rsid w:val="008039CD"/>
    <w:rsid w:val="0080656F"/>
    <w:rsid w:val="008068C1"/>
    <w:rsid w:val="00811232"/>
    <w:rsid w:val="00815201"/>
    <w:rsid w:val="00815882"/>
    <w:rsid w:val="00817DB8"/>
    <w:rsid w:val="008244C2"/>
    <w:rsid w:val="00825848"/>
    <w:rsid w:val="00826709"/>
    <w:rsid w:val="00831399"/>
    <w:rsid w:val="008336A7"/>
    <w:rsid w:val="00834760"/>
    <w:rsid w:val="00836025"/>
    <w:rsid w:val="0083603B"/>
    <w:rsid w:val="0083677B"/>
    <w:rsid w:val="008409C8"/>
    <w:rsid w:val="008418C3"/>
    <w:rsid w:val="0084451D"/>
    <w:rsid w:val="0084785A"/>
    <w:rsid w:val="00847C70"/>
    <w:rsid w:val="0085516A"/>
    <w:rsid w:val="00865693"/>
    <w:rsid w:val="008727D6"/>
    <w:rsid w:val="00873302"/>
    <w:rsid w:val="00874482"/>
    <w:rsid w:val="00875CBC"/>
    <w:rsid w:val="00881084"/>
    <w:rsid w:val="008820D7"/>
    <w:rsid w:val="00884127"/>
    <w:rsid w:val="00896C85"/>
    <w:rsid w:val="008A2774"/>
    <w:rsid w:val="008A27A2"/>
    <w:rsid w:val="008A2844"/>
    <w:rsid w:val="008A3161"/>
    <w:rsid w:val="008A3BD1"/>
    <w:rsid w:val="008A470F"/>
    <w:rsid w:val="008B2A1A"/>
    <w:rsid w:val="008B5F41"/>
    <w:rsid w:val="008C0080"/>
    <w:rsid w:val="008C1E1E"/>
    <w:rsid w:val="008C4F74"/>
    <w:rsid w:val="008C4FA3"/>
    <w:rsid w:val="008C5CC2"/>
    <w:rsid w:val="008C72ED"/>
    <w:rsid w:val="008D3DC2"/>
    <w:rsid w:val="008D409D"/>
    <w:rsid w:val="008D6637"/>
    <w:rsid w:val="008D7D05"/>
    <w:rsid w:val="008E32ED"/>
    <w:rsid w:val="008E3FFA"/>
    <w:rsid w:val="008F70CB"/>
    <w:rsid w:val="00902BA7"/>
    <w:rsid w:val="009035F0"/>
    <w:rsid w:val="00910BBE"/>
    <w:rsid w:val="009115A3"/>
    <w:rsid w:val="00911C92"/>
    <w:rsid w:val="00911EF9"/>
    <w:rsid w:val="0091660B"/>
    <w:rsid w:val="0092002E"/>
    <w:rsid w:val="00920CEF"/>
    <w:rsid w:val="009254FE"/>
    <w:rsid w:val="00925752"/>
    <w:rsid w:val="009259FD"/>
    <w:rsid w:val="0093055D"/>
    <w:rsid w:val="00933D06"/>
    <w:rsid w:val="00935ED0"/>
    <w:rsid w:val="00936EDE"/>
    <w:rsid w:val="009375D0"/>
    <w:rsid w:val="00940171"/>
    <w:rsid w:val="00941478"/>
    <w:rsid w:val="009417E6"/>
    <w:rsid w:val="0094378B"/>
    <w:rsid w:val="009509CC"/>
    <w:rsid w:val="00951445"/>
    <w:rsid w:val="00952409"/>
    <w:rsid w:val="009525DC"/>
    <w:rsid w:val="0095573A"/>
    <w:rsid w:val="00957BB5"/>
    <w:rsid w:val="00957DBF"/>
    <w:rsid w:val="00960236"/>
    <w:rsid w:val="009610CD"/>
    <w:rsid w:val="009619A5"/>
    <w:rsid w:val="00962B33"/>
    <w:rsid w:val="009648C7"/>
    <w:rsid w:val="00972409"/>
    <w:rsid w:val="00975699"/>
    <w:rsid w:val="0097607F"/>
    <w:rsid w:val="009771A4"/>
    <w:rsid w:val="00980CA6"/>
    <w:rsid w:val="00981FFD"/>
    <w:rsid w:val="00984979"/>
    <w:rsid w:val="00993281"/>
    <w:rsid w:val="00995F21"/>
    <w:rsid w:val="00996502"/>
    <w:rsid w:val="009A19C9"/>
    <w:rsid w:val="009A4BA3"/>
    <w:rsid w:val="009A5A48"/>
    <w:rsid w:val="009A5AB1"/>
    <w:rsid w:val="009A6CA8"/>
    <w:rsid w:val="009A728C"/>
    <w:rsid w:val="009B2F9C"/>
    <w:rsid w:val="009B4598"/>
    <w:rsid w:val="009B4CB3"/>
    <w:rsid w:val="009B4CF9"/>
    <w:rsid w:val="009B78D3"/>
    <w:rsid w:val="009C0C48"/>
    <w:rsid w:val="009C5A2B"/>
    <w:rsid w:val="009C73C4"/>
    <w:rsid w:val="009C780B"/>
    <w:rsid w:val="009C7D42"/>
    <w:rsid w:val="009D253E"/>
    <w:rsid w:val="009E1A13"/>
    <w:rsid w:val="009E27CF"/>
    <w:rsid w:val="009E3697"/>
    <w:rsid w:val="009E7192"/>
    <w:rsid w:val="009E74FF"/>
    <w:rsid w:val="009F03A9"/>
    <w:rsid w:val="009F1923"/>
    <w:rsid w:val="009F4A9E"/>
    <w:rsid w:val="009F7A2B"/>
    <w:rsid w:val="00A03049"/>
    <w:rsid w:val="00A06761"/>
    <w:rsid w:val="00A072E3"/>
    <w:rsid w:val="00A1010C"/>
    <w:rsid w:val="00A1457D"/>
    <w:rsid w:val="00A17D4B"/>
    <w:rsid w:val="00A17EF2"/>
    <w:rsid w:val="00A24EC9"/>
    <w:rsid w:val="00A339EC"/>
    <w:rsid w:val="00A37C89"/>
    <w:rsid w:val="00A42640"/>
    <w:rsid w:val="00A42B26"/>
    <w:rsid w:val="00A43662"/>
    <w:rsid w:val="00A46105"/>
    <w:rsid w:val="00A461C2"/>
    <w:rsid w:val="00A470D7"/>
    <w:rsid w:val="00A51A17"/>
    <w:rsid w:val="00A53DBA"/>
    <w:rsid w:val="00A54622"/>
    <w:rsid w:val="00A56355"/>
    <w:rsid w:val="00A57F83"/>
    <w:rsid w:val="00A62D79"/>
    <w:rsid w:val="00A63BB6"/>
    <w:rsid w:val="00A63ED1"/>
    <w:rsid w:val="00A64950"/>
    <w:rsid w:val="00A653C2"/>
    <w:rsid w:val="00A705CE"/>
    <w:rsid w:val="00A709F9"/>
    <w:rsid w:val="00A71E69"/>
    <w:rsid w:val="00A72AFF"/>
    <w:rsid w:val="00A737DA"/>
    <w:rsid w:val="00A74287"/>
    <w:rsid w:val="00A74EE6"/>
    <w:rsid w:val="00A8382B"/>
    <w:rsid w:val="00A842C0"/>
    <w:rsid w:val="00A8657D"/>
    <w:rsid w:val="00A86A77"/>
    <w:rsid w:val="00A86E19"/>
    <w:rsid w:val="00A90BDF"/>
    <w:rsid w:val="00A90CB6"/>
    <w:rsid w:val="00A91ECD"/>
    <w:rsid w:val="00A921BA"/>
    <w:rsid w:val="00A977D9"/>
    <w:rsid w:val="00AA0DC0"/>
    <w:rsid w:val="00AA2003"/>
    <w:rsid w:val="00AA2CE9"/>
    <w:rsid w:val="00AA70E0"/>
    <w:rsid w:val="00AB2347"/>
    <w:rsid w:val="00AB3067"/>
    <w:rsid w:val="00AB37B4"/>
    <w:rsid w:val="00AB3E39"/>
    <w:rsid w:val="00AB5E72"/>
    <w:rsid w:val="00AC3BC1"/>
    <w:rsid w:val="00AD5A00"/>
    <w:rsid w:val="00AE1D06"/>
    <w:rsid w:val="00AE295F"/>
    <w:rsid w:val="00AE4367"/>
    <w:rsid w:val="00AE63B1"/>
    <w:rsid w:val="00AE7724"/>
    <w:rsid w:val="00AF3DE5"/>
    <w:rsid w:val="00AF422D"/>
    <w:rsid w:val="00B055DD"/>
    <w:rsid w:val="00B0788E"/>
    <w:rsid w:val="00B127AB"/>
    <w:rsid w:val="00B1359F"/>
    <w:rsid w:val="00B17133"/>
    <w:rsid w:val="00B171A4"/>
    <w:rsid w:val="00B17375"/>
    <w:rsid w:val="00B21192"/>
    <w:rsid w:val="00B2178D"/>
    <w:rsid w:val="00B2337C"/>
    <w:rsid w:val="00B36E4A"/>
    <w:rsid w:val="00B37AE2"/>
    <w:rsid w:val="00B416C2"/>
    <w:rsid w:val="00B421A7"/>
    <w:rsid w:val="00B429B8"/>
    <w:rsid w:val="00B44B29"/>
    <w:rsid w:val="00B44D44"/>
    <w:rsid w:val="00B525D9"/>
    <w:rsid w:val="00B5394C"/>
    <w:rsid w:val="00B54562"/>
    <w:rsid w:val="00B54B0D"/>
    <w:rsid w:val="00B54B4D"/>
    <w:rsid w:val="00B55C3F"/>
    <w:rsid w:val="00B56870"/>
    <w:rsid w:val="00B571BE"/>
    <w:rsid w:val="00B62624"/>
    <w:rsid w:val="00B6383B"/>
    <w:rsid w:val="00B641B4"/>
    <w:rsid w:val="00B646F2"/>
    <w:rsid w:val="00B7047D"/>
    <w:rsid w:val="00B71045"/>
    <w:rsid w:val="00B718F9"/>
    <w:rsid w:val="00B74C3C"/>
    <w:rsid w:val="00B765CD"/>
    <w:rsid w:val="00B76679"/>
    <w:rsid w:val="00B80232"/>
    <w:rsid w:val="00B80C7D"/>
    <w:rsid w:val="00B854D7"/>
    <w:rsid w:val="00B86033"/>
    <w:rsid w:val="00B86E78"/>
    <w:rsid w:val="00B90431"/>
    <w:rsid w:val="00B92B4D"/>
    <w:rsid w:val="00B942F2"/>
    <w:rsid w:val="00BA000E"/>
    <w:rsid w:val="00BA6D1D"/>
    <w:rsid w:val="00BB3C9F"/>
    <w:rsid w:val="00BB4207"/>
    <w:rsid w:val="00BB54EF"/>
    <w:rsid w:val="00BC060F"/>
    <w:rsid w:val="00BC3775"/>
    <w:rsid w:val="00BC40F5"/>
    <w:rsid w:val="00BC467E"/>
    <w:rsid w:val="00BD1713"/>
    <w:rsid w:val="00BD3AB0"/>
    <w:rsid w:val="00BE2076"/>
    <w:rsid w:val="00BE6509"/>
    <w:rsid w:val="00BF2C2D"/>
    <w:rsid w:val="00C05B8F"/>
    <w:rsid w:val="00C139E6"/>
    <w:rsid w:val="00C13F97"/>
    <w:rsid w:val="00C22452"/>
    <w:rsid w:val="00C224C0"/>
    <w:rsid w:val="00C23C46"/>
    <w:rsid w:val="00C30C3D"/>
    <w:rsid w:val="00C3252B"/>
    <w:rsid w:val="00C32B78"/>
    <w:rsid w:val="00C33F7A"/>
    <w:rsid w:val="00C346C5"/>
    <w:rsid w:val="00C34796"/>
    <w:rsid w:val="00C372F4"/>
    <w:rsid w:val="00C403FE"/>
    <w:rsid w:val="00C40B77"/>
    <w:rsid w:val="00C41D2A"/>
    <w:rsid w:val="00C41FD5"/>
    <w:rsid w:val="00C43D2F"/>
    <w:rsid w:val="00C47BE5"/>
    <w:rsid w:val="00C47EFB"/>
    <w:rsid w:val="00C50FD2"/>
    <w:rsid w:val="00C52EB1"/>
    <w:rsid w:val="00C54784"/>
    <w:rsid w:val="00C67946"/>
    <w:rsid w:val="00C71B1F"/>
    <w:rsid w:val="00C71FC8"/>
    <w:rsid w:val="00C73D5D"/>
    <w:rsid w:val="00C76399"/>
    <w:rsid w:val="00C77A25"/>
    <w:rsid w:val="00C806EB"/>
    <w:rsid w:val="00C824CD"/>
    <w:rsid w:val="00C86043"/>
    <w:rsid w:val="00C8690B"/>
    <w:rsid w:val="00C876DE"/>
    <w:rsid w:val="00C87823"/>
    <w:rsid w:val="00C91265"/>
    <w:rsid w:val="00C92A6C"/>
    <w:rsid w:val="00C93B28"/>
    <w:rsid w:val="00C942A2"/>
    <w:rsid w:val="00C95262"/>
    <w:rsid w:val="00C95456"/>
    <w:rsid w:val="00CA32C7"/>
    <w:rsid w:val="00CA42C8"/>
    <w:rsid w:val="00CA4D76"/>
    <w:rsid w:val="00CA6A57"/>
    <w:rsid w:val="00CA6C48"/>
    <w:rsid w:val="00CB428C"/>
    <w:rsid w:val="00CB5ECA"/>
    <w:rsid w:val="00CB61FE"/>
    <w:rsid w:val="00CB7D92"/>
    <w:rsid w:val="00CC318B"/>
    <w:rsid w:val="00CC64F1"/>
    <w:rsid w:val="00CD0D37"/>
    <w:rsid w:val="00CD2E26"/>
    <w:rsid w:val="00CD40BB"/>
    <w:rsid w:val="00CD4CE4"/>
    <w:rsid w:val="00CD640E"/>
    <w:rsid w:val="00CD739D"/>
    <w:rsid w:val="00CE28FB"/>
    <w:rsid w:val="00CF2DE3"/>
    <w:rsid w:val="00CF35E9"/>
    <w:rsid w:val="00CF3C99"/>
    <w:rsid w:val="00CF7F5A"/>
    <w:rsid w:val="00D00D74"/>
    <w:rsid w:val="00D01552"/>
    <w:rsid w:val="00D042F1"/>
    <w:rsid w:val="00D0657E"/>
    <w:rsid w:val="00D068AB"/>
    <w:rsid w:val="00D10722"/>
    <w:rsid w:val="00D11616"/>
    <w:rsid w:val="00D1171D"/>
    <w:rsid w:val="00D137E9"/>
    <w:rsid w:val="00D13ED6"/>
    <w:rsid w:val="00D151D8"/>
    <w:rsid w:val="00D1767F"/>
    <w:rsid w:val="00D17F5D"/>
    <w:rsid w:val="00D20730"/>
    <w:rsid w:val="00D2207A"/>
    <w:rsid w:val="00D254DD"/>
    <w:rsid w:val="00D257F2"/>
    <w:rsid w:val="00D266BD"/>
    <w:rsid w:val="00D27463"/>
    <w:rsid w:val="00D27F30"/>
    <w:rsid w:val="00D32905"/>
    <w:rsid w:val="00D333E8"/>
    <w:rsid w:val="00D349FD"/>
    <w:rsid w:val="00D412AE"/>
    <w:rsid w:val="00D41749"/>
    <w:rsid w:val="00D438C8"/>
    <w:rsid w:val="00D50CB9"/>
    <w:rsid w:val="00D5278D"/>
    <w:rsid w:val="00D53F7B"/>
    <w:rsid w:val="00D55C82"/>
    <w:rsid w:val="00D56969"/>
    <w:rsid w:val="00D6207A"/>
    <w:rsid w:val="00D65DBA"/>
    <w:rsid w:val="00D7321F"/>
    <w:rsid w:val="00D77504"/>
    <w:rsid w:val="00D776AF"/>
    <w:rsid w:val="00D8195D"/>
    <w:rsid w:val="00D82E5B"/>
    <w:rsid w:val="00D84948"/>
    <w:rsid w:val="00D85601"/>
    <w:rsid w:val="00D85695"/>
    <w:rsid w:val="00D8790A"/>
    <w:rsid w:val="00D9255C"/>
    <w:rsid w:val="00DA1E92"/>
    <w:rsid w:val="00DA2F0C"/>
    <w:rsid w:val="00DB42A9"/>
    <w:rsid w:val="00DB4800"/>
    <w:rsid w:val="00DB5FF4"/>
    <w:rsid w:val="00DB6316"/>
    <w:rsid w:val="00DC071E"/>
    <w:rsid w:val="00DC151B"/>
    <w:rsid w:val="00DC1C45"/>
    <w:rsid w:val="00DC1E41"/>
    <w:rsid w:val="00DC4726"/>
    <w:rsid w:val="00DC502C"/>
    <w:rsid w:val="00DC5657"/>
    <w:rsid w:val="00DD2C1A"/>
    <w:rsid w:val="00DE0DF3"/>
    <w:rsid w:val="00DE51BF"/>
    <w:rsid w:val="00DE6315"/>
    <w:rsid w:val="00DE7090"/>
    <w:rsid w:val="00DF067F"/>
    <w:rsid w:val="00DF1BF8"/>
    <w:rsid w:val="00DF29D9"/>
    <w:rsid w:val="00DF3B56"/>
    <w:rsid w:val="00DF42EB"/>
    <w:rsid w:val="00DF5ED8"/>
    <w:rsid w:val="00DF6DEB"/>
    <w:rsid w:val="00DF7FC8"/>
    <w:rsid w:val="00E0128D"/>
    <w:rsid w:val="00E0319B"/>
    <w:rsid w:val="00E05BFC"/>
    <w:rsid w:val="00E10E7C"/>
    <w:rsid w:val="00E11F95"/>
    <w:rsid w:val="00E139DC"/>
    <w:rsid w:val="00E1463E"/>
    <w:rsid w:val="00E20826"/>
    <w:rsid w:val="00E2484A"/>
    <w:rsid w:val="00E25A17"/>
    <w:rsid w:val="00E32C4E"/>
    <w:rsid w:val="00E4033A"/>
    <w:rsid w:val="00E40670"/>
    <w:rsid w:val="00E40EC1"/>
    <w:rsid w:val="00E422E0"/>
    <w:rsid w:val="00E42B43"/>
    <w:rsid w:val="00E439C5"/>
    <w:rsid w:val="00E54D5A"/>
    <w:rsid w:val="00E5759D"/>
    <w:rsid w:val="00E575B5"/>
    <w:rsid w:val="00E61954"/>
    <w:rsid w:val="00E62373"/>
    <w:rsid w:val="00E628F7"/>
    <w:rsid w:val="00E6420D"/>
    <w:rsid w:val="00E67A14"/>
    <w:rsid w:val="00E72541"/>
    <w:rsid w:val="00E73B94"/>
    <w:rsid w:val="00E7425F"/>
    <w:rsid w:val="00E835C2"/>
    <w:rsid w:val="00E84906"/>
    <w:rsid w:val="00E9342D"/>
    <w:rsid w:val="00EA001C"/>
    <w:rsid w:val="00EA1AA0"/>
    <w:rsid w:val="00EA5B65"/>
    <w:rsid w:val="00EB1399"/>
    <w:rsid w:val="00EB314A"/>
    <w:rsid w:val="00EB3901"/>
    <w:rsid w:val="00EB4354"/>
    <w:rsid w:val="00EC0BD8"/>
    <w:rsid w:val="00EC6815"/>
    <w:rsid w:val="00ED3E7E"/>
    <w:rsid w:val="00ED3EBD"/>
    <w:rsid w:val="00EE2579"/>
    <w:rsid w:val="00EE3DEE"/>
    <w:rsid w:val="00EE473B"/>
    <w:rsid w:val="00EE5D87"/>
    <w:rsid w:val="00EE6512"/>
    <w:rsid w:val="00EE74E7"/>
    <w:rsid w:val="00EF2216"/>
    <w:rsid w:val="00EF299E"/>
    <w:rsid w:val="00EF335C"/>
    <w:rsid w:val="00EF4161"/>
    <w:rsid w:val="00EF75E2"/>
    <w:rsid w:val="00EF774B"/>
    <w:rsid w:val="00F00DB1"/>
    <w:rsid w:val="00F067A4"/>
    <w:rsid w:val="00F0683C"/>
    <w:rsid w:val="00F07350"/>
    <w:rsid w:val="00F07B22"/>
    <w:rsid w:val="00F07B4D"/>
    <w:rsid w:val="00F1179A"/>
    <w:rsid w:val="00F16A6D"/>
    <w:rsid w:val="00F16E9F"/>
    <w:rsid w:val="00F24B67"/>
    <w:rsid w:val="00F2614D"/>
    <w:rsid w:val="00F267B9"/>
    <w:rsid w:val="00F3022D"/>
    <w:rsid w:val="00F30A74"/>
    <w:rsid w:val="00F32002"/>
    <w:rsid w:val="00F32061"/>
    <w:rsid w:val="00F3483A"/>
    <w:rsid w:val="00F407FA"/>
    <w:rsid w:val="00F439A3"/>
    <w:rsid w:val="00F51623"/>
    <w:rsid w:val="00F549E3"/>
    <w:rsid w:val="00F54B99"/>
    <w:rsid w:val="00F574CF"/>
    <w:rsid w:val="00F57F56"/>
    <w:rsid w:val="00F67A73"/>
    <w:rsid w:val="00F70179"/>
    <w:rsid w:val="00F72DE9"/>
    <w:rsid w:val="00F730E0"/>
    <w:rsid w:val="00F732A5"/>
    <w:rsid w:val="00F73CCC"/>
    <w:rsid w:val="00F81418"/>
    <w:rsid w:val="00F820DC"/>
    <w:rsid w:val="00F83D8C"/>
    <w:rsid w:val="00F85003"/>
    <w:rsid w:val="00F91417"/>
    <w:rsid w:val="00F93EC7"/>
    <w:rsid w:val="00F9478B"/>
    <w:rsid w:val="00F954B7"/>
    <w:rsid w:val="00F975A1"/>
    <w:rsid w:val="00FA4440"/>
    <w:rsid w:val="00FA5D98"/>
    <w:rsid w:val="00FA5F0D"/>
    <w:rsid w:val="00FA6922"/>
    <w:rsid w:val="00FA6D59"/>
    <w:rsid w:val="00FB6C56"/>
    <w:rsid w:val="00FC2EF1"/>
    <w:rsid w:val="00FC4671"/>
    <w:rsid w:val="00FC709E"/>
    <w:rsid w:val="00FE1BEF"/>
    <w:rsid w:val="00FE416B"/>
    <w:rsid w:val="00FE6514"/>
    <w:rsid w:val="00FF0893"/>
    <w:rsid w:val="00FF627C"/>
    <w:rsid w:val="00FF6ADF"/>
    <w:rsid w:val="01053CA1"/>
    <w:rsid w:val="014D0F3E"/>
    <w:rsid w:val="020F4122"/>
    <w:rsid w:val="023F57C1"/>
    <w:rsid w:val="024F6F69"/>
    <w:rsid w:val="02DBEA0B"/>
    <w:rsid w:val="03148B5C"/>
    <w:rsid w:val="03174BF9"/>
    <w:rsid w:val="0343EA68"/>
    <w:rsid w:val="038A5107"/>
    <w:rsid w:val="03C8F16A"/>
    <w:rsid w:val="03D3FBB6"/>
    <w:rsid w:val="03D5AC3A"/>
    <w:rsid w:val="0410C9AD"/>
    <w:rsid w:val="04233CC6"/>
    <w:rsid w:val="043B7513"/>
    <w:rsid w:val="04865278"/>
    <w:rsid w:val="049D8566"/>
    <w:rsid w:val="04B4C28B"/>
    <w:rsid w:val="04E4C27E"/>
    <w:rsid w:val="057983C7"/>
    <w:rsid w:val="059F231B"/>
    <w:rsid w:val="05BCF81C"/>
    <w:rsid w:val="05D72D3F"/>
    <w:rsid w:val="0603F064"/>
    <w:rsid w:val="062C4DD3"/>
    <w:rsid w:val="063A1800"/>
    <w:rsid w:val="063ACEFC"/>
    <w:rsid w:val="0680973C"/>
    <w:rsid w:val="0718ED30"/>
    <w:rsid w:val="0729334D"/>
    <w:rsid w:val="072E82FD"/>
    <w:rsid w:val="074B9EE6"/>
    <w:rsid w:val="0750BEFE"/>
    <w:rsid w:val="07657537"/>
    <w:rsid w:val="0770F41B"/>
    <w:rsid w:val="07754139"/>
    <w:rsid w:val="0785DA13"/>
    <w:rsid w:val="07A7F3D6"/>
    <w:rsid w:val="07C0D3AA"/>
    <w:rsid w:val="07DB45DF"/>
    <w:rsid w:val="07E96EB5"/>
    <w:rsid w:val="07FC66E2"/>
    <w:rsid w:val="081060C8"/>
    <w:rsid w:val="0813B563"/>
    <w:rsid w:val="08430198"/>
    <w:rsid w:val="085FDFCA"/>
    <w:rsid w:val="0872F179"/>
    <w:rsid w:val="08A51238"/>
    <w:rsid w:val="08F516A0"/>
    <w:rsid w:val="0947A0F1"/>
    <w:rsid w:val="0978905F"/>
    <w:rsid w:val="09991F58"/>
    <w:rsid w:val="09B1037C"/>
    <w:rsid w:val="09C2350C"/>
    <w:rsid w:val="09CD8F0C"/>
    <w:rsid w:val="09FFDA2A"/>
    <w:rsid w:val="0A213B4F"/>
    <w:rsid w:val="0A57DA71"/>
    <w:rsid w:val="0A699A25"/>
    <w:rsid w:val="0A8B0F52"/>
    <w:rsid w:val="0AEE2E96"/>
    <w:rsid w:val="0B2DC546"/>
    <w:rsid w:val="0B81858B"/>
    <w:rsid w:val="0BAAF159"/>
    <w:rsid w:val="0C1A78C6"/>
    <w:rsid w:val="0C5C9C4E"/>
    <w:rsid w:val="0C79C581"/>
    <w:rsid w:val="0C94F968"/>
    <w:rsid w:val="0C9E396D"/>
    <w:rsid w:val="0CA46C24"/>
    <w:rsid w:val="0CC26648"/>
    <w:rsid w:val="0CEEA93A"/>
    <w:rsid w:val="0D672775"/>
    <w:rsid w:val="0DBFA871"/>
    <w:rsid w:val="0DFFD650"/>
    <w:rsid w:val="0EE44425"/>
    <w:rsid w:val="0EEBAF67"/>
    <w:rsid w:val="0EF120A2"/>
    <w:rsid w:val="0F6D0A24"/>
    <w:rsid w:val="0F6E6219"/>
    <w:rsid w:val="0F75F025"/>
    <w:rsid w:val="0FAE0738"/>
    <w:rsid w:val="0FBFC09C"/>
    <w:rsid w:val="0FE47209"/>
    <w:rsid w:val="0FE4C15B"/>
    <w:rsid w:val="0FF9B888"/>
    <w:rsid w:val="10580399"/>
    <w:rsid w:val="107EF6C6"/>
    <w:rsid w:val="10B8E344"/>
    <w:rsid w:val="10CC0DCC"/>
    <w:rsid w:val="10CFFE99"/>
    <w:rsid w:val="112FCA4C"/>
    <w:rsid w:val="115F3C1C"/>
    <w:rsid w:val="116C8F00"/>
    <w:rsid w:val="117703D8"/>
    <w:rsid w:val="117D4FC3"/>
    <w:rsid w:val="119C63C2"/>
    <w:rsid w:val="119C94DE"/>
    <w:rsid w:val="11A4EA85"/>
    <w:rsid w:val="11D60475"/>
    <w:rsid w:val="11E25F1D"/>
    <w:rsid w:val="11ED8F09"/>
    <w:rsid w:val="11F643C5"/>
    <w:rsid w:val="121FFFE1"/>
    <w:rsid w:val="122BEE4D"/>
    <w:rsid w:val="129A1F69"/>
    <w:rsid w:val="12AB01C1"/>
    <w:rsid w:val="12E07A87"/>
    <w:rsid w:val="12E5AD8D"/>
    <w:rsid w:val="13050268"/>
    <w:rsid w:val="132D6D54"/>
    <w:rsid w:val="132EFFE9"/>
    <w:rsid w:val="13452FB5"/>
    <w:rsid w:val="13527FAC"/>
    <w:rsid w:val="135823D0"/>
    <w:rsid w:val="136EC1FB"/>
    <w:rsid w:val="139ADDB9"/>
    <w:rsid w:val="1400FB1C"/>
    <w:rsid w:val="1436AFBF"/>
    <w:rsid w:val="143725CF"/>
    <w:rsid w:val="144548B7"/>
    <w:rsid w:val="14A98639"/>
    <w:rsid w:val="14C619FB"/>
    <w:rsid w:val="15103EB7"/>
    <w:rsid w:val="151D794A"/>
    <w:rsid w:val="153B49F8"/>
    <w:rsid w:val="156AD089"/>
    <w:rsid w:val="156F7224"/>
    <w:rsid w:val="156FE5D7"/>
    <w:rsid w:val="15931CC8"/>
    <w:rsid w:val="15D5541C"/>
    <w:rsid w:val="15E1BF87"/>
    <w:rsid w:val="160B039F"/>
    <w:rsid w:val="169E0A40"/>
    <w:rsid w:val="16BD3CFA"/>
    <w:rsid w:val="16D9E791"/>
    <w:rsid w:val="16F8E01A"/>
    <w:rsid w:val="1727570F"/>
    <w:rsid w:val="172FED02"/>
    <w:rsid w:val="17CD39F4"/>
    <w:rsid w:val="18581AD8"/>
    <w:rsid w:val="18762AD6"/>
    <w:rsid w:val="189624F1"/>
    <w:rsid w:val="19399F35"/>
    <w:rsid w:val="1945FF4A"/>
    <w:rsid w:val="19524F05"/>
    <w:rsid w:val="198EA1D2"/>
    <w:rsid w:val="19BBA61B"/>
    <w:rsid w:val="1A076813"/>
    <w:rsid w:val="1A25BE8B"/>
    <w:rsid w:val="1A2C205C"/>
    <w:rsid w:val="1A48DC37"/>
    <w:rsid w:val="1A4C7FB5"/>
    <w:rsid w:val="1A5A5F6C"/>
    <w:rsid w:val="1A8FC3CB"/>
    <w:rsid w:val="1AA27BE1"/>
    <w:rsid w:val="1AA59109"/>
    <w:rsid w:val="1B071EC1"/>
    <w:rsid w:val="1B343DBA"/>
    <w:rsid w:val="1B71C615"/>
    <w:rsid w:val="1B774D57"/>
    <w:rsid w:val="1B8CA061"/>
    <w:rsid w:val="1BC552AA"/>
    <w:rsid w:val="1BC944E5"/>
    <w:rsid w:val="1BD45B6E"/>
    <w:rsid w:val="1BDCBCEC"/>
    <w:rsid w:val="1BF47136"/>
    <w:rsid w:val="1BFC89D0"/>
    <w:rsid w:val="1C11C1C4"/>
    <w:rsid w:val="1C217B11"/>
    <w:rsid w:val="1C33D307"/>
    <w:rsid w:val="1C476FA8"/>
    <w:rsid w:val="1C6D66B8"/>
    <w:rsid w:val="1CA1D232"/>
    <w:rsid w:val="1CB0563A"/>
    <w:rsid w:val="1CD864E8"/>
    <w:rsid w:val="1CF0F5C5"/>
    <w:rsid w:val="1D5382EA"/>
    <w:rsid w:val="1D780951"/>
    <w:rsid w:val="1DA5E5AA"/>
    <w:rsid w:val="1DF76B7D"/>
    <w:rsid w:val="1E02734A"/>
    <w:rsid w:val="1E0ACA3D"/>
    <w:rsid w:val="1E0E4A7B"/>
    <w:rsid w:val="1E996D1F"/>
    <w:rsid w:val="1EA91A9D"/>
    <w:rsid w:val="1EFEFD43"/>
    <w:rsid w:val="1F8923C6"/>
    <w:rsid w:val="1F9304B4"/>
    <w:rsid w:val="1FA170EE"/>
    <w:rsid w:val="1FA35662"/>
    <w:rsid w:val="1FA95519"/>
    <w:rsid w:val="20207779"/>
    <w:rsid w:val="2024B5BF"/>
    <w:rsid w:val="209ABFC2"/>
    <w:rsid w:val="20BCED75"/>
    <w:rsid w:val="20C52078"/>
    <w:rsid w:val="213C0F64"/>
    <w:rsid w:val="216C88BF"/>
    <w:rsid w:val="21B981BD"/>
    <w:rsid w:val="22328649"/>
    <w:rsid w:val="223F78F0"/>
    <w:rsid w:val="227E372D"/>
    <w:rsid w:val="22AB3C73"/>
    <w:rsid w:val="22AD7596"/>
    <w:rsid w:val="22D9C226"/>
    <w:rsid w:val="22FBE11E"/>
    <w:rsid w:val="23932F27"/>
    <w:rsid w:val="2393AE3A"/>
    <w:rsid w:val="23B34B28"/>
    <w:rsid w:val="23BBAF6F"/>
    <w:rsid w:val="23DB0781"/>
    <w:rsid w:val="23E6E7B6"/>
    <w:rsid w:val="23FBDEE4"/>
    <w:rsid w:val="24034EAE"/>
    <w:rsid w:val="2407E74C"/>
    <w:rsid w:val="241D57F7"/>
    <w:rsid w:val="242D1C9F"/>
    <w:rsid w:val="242D6A2E"/>
    <w:rsid w:val="245EC696"/>
    <w:rsid w:val="24BF80C4"/>
    <w:rsid w:val="24D77F0A"/>
    <w:rsid w:val="24DA351B"/>
    <w:rsid w:val="24F397F0"/>
    <w:rsid w:val="254EA43E"/>
    <w:rsid w:val="25638C7E"/>
    <w:rsid w:val="25A657D0"/>
    <w:rsid w:val="25CA4176"/>
    <w:rsid w:val="25EFA400"/>
    <w:rsid w:val="2622ADD9"/>
    <w:rsid w:val="2640615B"/>
    <w:rsid w:val="266B639A"/>
    <w:rsid w:val="26A394ED"/>
    <w:rsid w:val="26ACF248"/>
    <w:rsid w:val="26AF9ED0"/>
    <w:rsid w:val="26DA6885"/>
    <w:rsid w:val="26E6979A"/>
    <w:rsid w:val="26F78A7E"/>
    <w:rsid w:val="273D571C"/>
    <w:rsid w:val="274802D8"/>
    <w:rsid w:val="27D25DBF"/>
    <w:rsid w:val="27E60B08"/>
    <w:rsid w:val="27E8C05D"/>
    <w:rsid w:val="2825414B"/>
    <w:rsid w:val="29379A7B"/>
    <w:rsid w:val="293969BF"/>
    <w:rsid w:val="29B48269"/>
    <w:rsid w:val="2A7DC6D5"/>
    <w:rsid w:val="2B16750B"/>
    <w:rsid w:val="2B81124B"/>
    <w:rsid w:val="2BFC17F9"/>
    <w:rsid w:val="2C319431"/>
    <w:rsid w:val="2C4D66CE"/>
    <w:rsid w:val="2D2C44D2"/>
    <w:rsid w:val="2D2D7912"/>
    <w:rsid w:val="2D35DD86"/>
    <w:rsid w:val="2D57EE95"/>
    <w:rsid w:val="2D89F53D"/>
    <w:rsid w:val="2DAB2EAC"/>
    <w:rsid w:val="2DB27CD0"/>
    <w:rsid w:val="2E66E948"/>
    <w:rsid w:val="2E6AD699"/>
    <w:rsid w:val="2ECA3874"/>
    <w:rsid w:val="2F11269D"/>
    <w:rsid w:val="2FB17F36"/>
    <w:rsid w:val="2FE187B1"/>
    <w:rsid w:val="2FE92429"/>
    <w:rsid w:val="2FEA42D3"/>
    <w:rsid w:val="2FF448BD"/>
    <w:rsid w:val="3050F7DF"/>
    <w:rsid w:val="30799720"/>
    <w:rsid w:val="3090497C"/>
    <w:rsid w:val="310525A2"/>
    <w:rsid w:val="31137848"/>
    <w:rsid w:val="3142825B"/>
    <w:rsid w:val="314D377E"/>
    <w:rsid w:val="317C85E7"/>
    <w:rsid w:val="31D55C62"/>
    <w:rsid w:val="320529B4"/>
    <w:rsid w:val="320CB83D"/>
    <w:rsid w:val="320D5546"/>
    <w:rsid w:val="322663EA"/>
    <w:rsid w:val="322E2F87"/>
    <w:rsid w:val="324598F6"/>
    <w:rsid w:val="326F1633"/>
    <w:rsid w:val="32705F86"/>
    <w:rsid w:val="327C6813"/>
    <w:rsid w:val="32EAA3EC"/>
    <w:rsid w:val="330687D9"/>
    <w:rsid w:val="33385908"/>
    <w:rsid w:val="333B1627"/>
    <w:rsid w:val="333DBFEB"/>
    <w:rsid w:val="33F82C0E"/>
    <w:rsid w:val="34254846"/>
    <w:rsid w:val="34430CCA"/>
    <w:rsid w:val="34BCA9A9"/>
    <w:rsid w:val="34CD6746"/>
    <w:rsid w:val="34DDEB1C"/>
    <w:rsid w:val="34E0282F"/>
    <w:rsid w:val="34FB7BB8"/>
    <w:rsid w:val="35139604"/>
    <w:rsid w:val="3570D9E6"/>
    <w:rsid w:val="35837EDB"/>
    <w:rsid w:val="3597FF42"/>
    <w:rsid w:val="359A9935"/>
    <w:rsid w:val="35D192D0"/>
    <w:rsid w:val="35D3A948"/>
    <w:rsid w:val="3616A7E8"/>
    <w:rsid w:val="367C0E82"/>
    <w:rsid w:val="36BDB70A"/>
    <w:rsid w:val="36C59C0C"/>
    <w:rsid w:val="36C6EE01"/>
    <w:rsid w:val="36CB3DF1"/>
    <w:rsid w:val="36E4710B"/>
    <w:rsid w:val="36FEE481"/>
    <w:rsid w:val="3731ED24"/>
    <w:rsid w:val="37A34F10"/>
    <w:rsid w:val="37ED3B56"/>
    <w:rsid w:val="37F2E5FB"/>
    <w:rsid w:val="38096A3E"/>
    <w:rsid w:val="3841288D"/>
    <w:rsid w:val="384A4A45"/>
    <w:rsid w:val="38659AF1"/>
    <w:rsid w:val="387DDF64"/>
    <w:rsid w:val="387ED082"/>
    <w:rsid w:val="392B2BD8"/>
    <w:rsid w:val="39616D1F"/>
    <w:rsid w:val="39A821E2"/>
    <w:rsid w:val="39BE80FE"/>
    <w:rsid w:val="39BEF2F6"/>
    <w:rsid w:val="3A57717A"/>
    <w:rsid w:val="3A6A12B1"/>
    <w:rsid w:val="3A75A33F"/>
    <w:rsid w:val="3AE1276F"/>
    <w:rsid w:val="3B1BEE4F"/>
    <w:rsid w:val="3B397643"/>
    <w:rsid w:val="3B71AC2E"/>
    <w:rsid w:val="3B7A9E23"/>
    <w:rsid w:val="3B870AE2"/>
    <w:rsid w:val="3B87B636"/>
    <w:rsid w:val="3BA96EC7"/>
    <w:rsid w:val="3BA9D776"/>
    <w:rsid w:val="3BB091C5"/>
    <w:rsid w:val="3BB9729C"/>
    <w:rsid w:val="3BC6997B"/>
    <w:rsid w:val="3C5556E3"/>
    <w:rsid w:val="3C7BDF6B"/>
    <w:rsid w:val="3C956023"/>
    <w:rsid w:val="3CBD8ABF"/>
    <w:rsid w:val="3D0A8097"/>
    <w:rsid w:val="3D0FFEAC"/>
    <w:rsid w:val="3D173A31"/>
    <w:rsid w:val="3D31171C"/>
    <w:rsid w:val="3D6A59FE"/>
    <w:rsid w:val="3DBC6EE8"/>
    <w:rsid w:val="3DBEB56E"/>
    <w:rsid w:val="3DC1349F"/>
    <w:rsid w:val="3E139615"/>
    <w:rsid w:val="3E287F3A"/>
    <w:rsid w:val="3E2BCB89"/>
    <w:rsid w:val="3E65B041"/>
    <w:rsid w:val="3EF98501"/>
    <w:rsid w:val="3F01752F"/>
    <w:rsid w:val="3F4C1ED2"/>
    <w:rsid w:val="3F68318A"/>
    <w:rsid w:val="3FA2789D"/>
    <w:rsid w:val="40004C63"/>
    <w:rsid w:val="405A34D2"/>
    <w:rsid w:val="4060626F"/>
    <w:rsid w:val="4080E841"/>
    <w:rsid w:val="40B5985B"/>
    <w:rsid w:val="4137A893"/>
    <w:rsid w:val="4177F929"/>
    <w:rsid w:val="41812A97"/>
    <w:rsid w:val="418CC2CD"/>
    <w:rsid w:val="4191F46A"/>
    <w:rsid w:val="41E79C62"/>
    <w:rsid w:val="41EB6840"/>
    <w:rsid w:val="42379842"/>
    <w:rsid w:val="42B5900F"/>
    <w:rsid w:val="42C2CEE4"/>
    <w:rsid w:val="4338A280"/>
    <w:rsid w:val="4364217D"/>
    <w:rsid w:val="437756D8"/>
    <w:rsid w:val="43C07AC8"/>
    <w:rsid w:val="442277AE"/>
    <w:rsid w:val="442A6D81"/>
    <w:rsid w:val="4439A008"/>
    <w:rsid w:val="443A10AE"/>
    <w:rsid w:val="4440F233"/>
    <w:rsid w:val="448E108C"/>
    <w:rsid w:val="44967268"/>
    <w:rsid w:val="449C59AD"/>
    <w:rsid w:val="44AEF40F"/>
    <w:rsid w:val="44B13635"/>
    <w:rsid w:val="44D7EFAA"/>
    <w:rsid w:val="44E3451C"/>
    <w:rsid w:val="4503572B"/>
    <w:rsid w:val="451B858A"/>
    <w:rsid w:val="454CE516"/>
    <w:rsid w:val="45C21205"/>
    <w:rsid w:val="45FAB2F5"/>
    <w:rsid w:val="46BA57ED"/>
    <w:rsid w:val="46FE9416"/>
    <w:rsid w:val="4705AA98"/>
    <w:rsid w:val="470CAFD9"/>
    <w:rsid w:val="4724548D"/>
    <w:rsid w:val="4752708A"/>
    <w:rsid w:val="477852E9"/>
    <w:rsid w:val="479F6FA0"/>
    <w:rsid w:val="47F6EB76"/>
    <w:rsid w:val="48CF7BF0"/>
    <w:rsid w:val="48FFEE77"/>
    <w:rsid w:val="4955AC75"/>
    <w:rsid w:val="496F48CF"/>
    <w:rsid w:val="499C09A0"/>
    <w:rsid w:val="49FEAC44"/>
    <w:rsid w:val="4A033D64"/>
    <w:rsid w:val="4A21219C"/>
    <w:rsid w:val="4A3700FB"/>
    <w:rsid w:val="4AA550AC"/>
    <w:rsid w:val="4AC4F7AC"/>
    <w:rsid w:val="4AC5A793"/>
    <w:rsid w:val="4B1B5B74"/>
    <w:rsid w:val="4B2D3845"/>
    <w:rsid w:val="4C04ED40"/>
    <w:rsid w:val="4C79BF91"/>
    <w:rsid w:val="4C7F92AA"/>
    <w:rsid w:val="4D0BE5BB"/>
    <w:rsid w:val="4EB32A22"/>
    <w:rsid w:val="4ECA16F0"/>
    <w:rsid w:val="4EDD1FC4"/>
    <w:rsid w:val="4F47FA11"/>
    <w:rsid w:val="4FCF4CC4"/>
    <w:rsid w:val="5097B22A"/>
    <w:rsid w:val="516904CC"/>
    <w:rsid w:val="51691CD0"/>
    <w:rsid w:val="516BE90F"/>
    <w:rsid w:val="519FAB4B"/>
    <w:rsid w:val="51CB18F8"/>
    <w:rsid w:val="520599A3"/>
    <w:rsid w:val="526DC41E"/>
    <w:rsid w:val="52749E84"/>
    <w:rsid w:val="528B9A37"/>
    <w:rsid w:val="52BC5909"/>
    <w:rsid w:val="52D64718"/>
    <w:rsid w:val="52D92326"/>
    <w:rsid w:val="52FD673E"/>
    <w:rsid w:val="532786B0"/>
    <w:rsid w:val="533025F0"/>
    <w:rsid w:val="5333DE34"/>
    <w:rsid w:val="53429B4B"/>
    <w:rsid w:val="53657CE7"/>
    <w:rsid w:val="537E49D6"/>
    <w:rsid w:val="538C7E53"/>
    <w:rsid w:val="53AE322C"/>
    <w:rsid w:val="54E51144"/>
    <w:rsid w:val="552E7140"/>
    <w:rsid w:val="55360722"/>
    <w:rsid w:val="553E2C99"/>
    <w:rsid w:val="554403D5"/>
    <w:rsid w:val="55FA1A03"/>
    <w:rsid w:val="5618CD05"/>
    <w:rsid w:val="5634F36A"/>
    <w:rsid w:val="564DAEF3"/>
    <w:rsid w:val="568CAD77"/>
    <w:rsid w:val="56912E9C"/>
    <w:rsid w:val="56A2AC74"/>
    <w:rsid w:val="56CA2377"/>
    <w:rsid w:val="56CF6716"/>
    <w:rsid w:val="56D9E904"/>
    <w:rsid w:val="56F9FBF0"/>
    <w:rsid w:val="57614E34"/>
    <w:rsid w:val="576751D9"/>
    <w:rsid w:val="578CA52D"/>
    <w:rsid w:val="57DACB87"/>
    <w:rsid w:val="5835CFA9"/>
    <w:rsid w:val="583A91E1"/>
    <w:rsid w:val="58743A5F"/>
    <w:rsid w:val="5893BC3E"/>
    <w:rsid w:val="58C8A274"/>
    <w:rsid w:val="58D16DA5"/>
    <w:rsid w:val="59002E87"/>
    <w:rsid w:val="59309E20"/>
    <w:rsid w:val="5A258EC7"/>
    <w:rsid w:val="5A761BD7"/>
    <w:rsid w:val="5A85A642"/>
    <w:rsid w:val="5AB105C1"/>
    <w:rsid w:val="5AE5273C"/>
    <w:rsid w:val="5B47A4FC"/>
    <w:rsid w:val="5B79A527"/>
    <w:rsid w:val="5B8E40CF"/>
    <w:rsid w:val="5BF3C91F"/>
    <w:rsid w:val="5C0BAE70"/>
    <w:rsid w:val="5C4744D6"/>
    <w:rsid w:val="5C6F0A54"/>
    <w:rsid w:val="5C7B9FB1"/>
    <w:rsid w:val="5C938448"/>
    <w:rsid w:val="5C9C6EE6"/>
    <w:rsid w:val="5CC4D9F3"/>
    <w:rsid w:val="5CC7AF0C"/>
    <w:rsid w:val="5D746978"/>
    <w:rsid w:val="5D75C873"/>
    <w:rsid w:val="5D7E772D"/>
    <w:rsid w:val="5D95BB25"/>
    <w:rsid w:val="5DA1C5AE"/>
    <w:rsid w:val="5DE6EF52"/>
    <w:rsid w:val="5E639241"/>
    <w:rsid w:val="5E8F27A0"/>
    <w:rsid w:val="5EA67B2C"/>
    <w:rsid w:val="5EBD491A"/>
    <w:rsid w:val="5EC5A436"/>
    <w:rsid w:val="5F0320B2"/>
    <w:rsid w:val="5F12526D"/>
    <w:rsid w:val="5F27632D"/>
    <w:rsid w:val="5F4D3BB5"/>
    <w:rsid w:val="5F67FD06"/>
    <w:rsid w:val="5F877D59"/>
    <w:rsid w:val="5FD7697A"/>
    <w:rsid w:val="5FFD0F7D"/>
    <w:rsid w:val="60199262"/>
    <w:rsid w:val="602FDC96"/>
    <w:rsid w:val="6115374C"/>
    <w:rsid w:val="61458856"/>
    <w:rsid w:val="617986B5"/>
    <w:rsid w:val="61988CF7"/>
    <w:rsid w:val="61BB7AB2"/>
    <w:rsid w:val="621C45C7"/>
    <w:rsid w:val="622F71BE"/>
    <w:rsid w:val="623C99DD"/>
    <w:rsid w:val="624D228D"/>
    <w:rsid w:val="625FFF15"/>
    <w:rsid w:val="626EED64"/>
    <w:rsid w:val="627C4EEF"/>
    <w:rsid w:val="62CD167A"/>
    <w:rsid w:val="62CD49EB"/>
    <w:rsid w:val="62D65A36"/>
    <w:rsid w:val="62F139B7"/>
    <w:rsid w:val="62F7988D"/>
    <w:rsid w:val="6304EBB9"/>
    <w:rsid w:val="6325D17C"/>
    <w:rsid w:val="632FF22B"/>
    <w:rsid w:val="637811BF"/>
    <w:rsid w:val="637D2D2B"/>
    <w:rsid w:val="63852AB6"/>
    <w:rsid w:val="63998CA2"/>
    <w:rsid w:val="63A7593B"/>
    <w:rsid w:val="63B88E0A"/>
    <w:rsid w:val="642C9468"/>
    <w:rsid w:val="644226FD"/>
    <w:rsid w:val="645C7920"/>
    <w:rsid w:val="64D0AF4A"/>
    <w:rsid w:val="64F9AD40"/>
    <w:rsid w:val="6515A28E"/>
    <w:rsid w:val="65865025"/>
    <w:rsid w:val="660AED85"/>
    <w:rsid w:val="660F186F"/>
    <w:rsid w:val="665BC57B"/>
    <w:rsid w:val="66620707"/>
    <w:rsid w:val="66825619"/>
    <w:rsid w:val="66DD8E34"/>
    <w:rsid w:val="67007137"/>
    <w:rsid w:val="6716E64D"/>
    <w:rsid w:val="673A825A"/>
    <w:rsid w:val="6777CD00"/>
    <w:rsid w:val="67D459BC"/>
    <w:rsid w:val="68062ACA"/>
    <w:rsid w:val="68191EE2"/>
    <w:rsid w:val="68910E57"/>
    <w:rsid w:val="6897EDE5"/>
    <w:rsid w:val="690314E2"/>
    <w:rsid w:val="690BD162"/>
    <w:rsid w:val="6927B8CC"/>
    <w:rsid w:val="697B2A79"/>
    <w:rsid w:val="69982389"/>
    <w:rsid w:val="69A1A3EC"/>
    <w:rsid w:val="69F3E661"/>
    <w:rsid w:val="69FCF1F1"/>
    <w:rsid w:val="6A09985D"/>
    <w:rsid w:val="6A32FF1B"/>
    <w:rsid w:val="6A8AB00E"/>
    <w:rsid w:val="6ABE1EA3"/>
    <w:rsid w:val="6ACE2DC3"/>
    <w:rsid w:val="6AE0D5F1"/>
    <w:rsid w:val="6AFE78E9"/>
    <w:rsid w:val="6B03B0F3"/>
    <w:rsid w:val="6B9CCE1D"/>
    <w:rsid w:val="6BBF0B1F"/>
    <w:rsid w:val="6C1DDD32"/>
    <w:rsid w:val="6C1FE959"/>
    <w:rsid w:val="6C313892"/>
    <w:rsid w:val="6CCBCC94"/>
    <w:rsid w:val="6CED044B"/>
    <w:rsid w:val="6D6EE71F"/>
    <w:rsid w:val="6D764AE9"/>
    <w:rsid w:val="6DBC9EAD"/>
    <w:rsid w:val="6DC38676"/>
    <w:rsid w:val="6DF3F805"/>
    <w:rsid w:val="6E00E96B"/>
    <w:rsid w:val="6E4B8F81"/>
    <w:rsid w:val="6EB5AF5C"/>
    <w:rsid w:val="6ECBBDFF"/>
    <w:rsid w:val="6EE8848A"/>
    <w:rsid w:val="6EFE6EC4"/>
    <w:rsid w:val="6F2964A4"/>
    <w:rsid w:val="6F9D6C00"/>
    <w:rsid w:val="6FC811D2"/>
    <w:rsid w:val="6FCFB810"/>
    <w:rsid w:val="7003C55B"/>
    <w:rsid w:val="709AEC46"/>
    <w:rsid w:val="70B8B525"/>
    <w:rsid w:val="70DEE66D"/>
    <w:rsid w:val="7106869A"/>
    <w:rsid w:val="7142A289"/>
    <w:rsid w:val="7175CABA"/>
    <w:rsid w:val="718A7955"/>
    <w:rsid w:val="719CB2F3"/>
    <w:rsid w:val="71AF5818"/>
    <w:rsid w:val="71D9D481"/>
    <w:rsid w:val="71DCA890"/>
    <w:rsid w:val="720F22D2"/>
    <w:rsid w:val="7241AEFD"/>
    <w:rsid w:val="724E18C5"/>
    <w:rsid w:val="729FB626"/>
    <w:rsid w:val="72CCD4E8"/>
    <w:rsid w:val="72E98DD7"/>
    <w:rsid w:val="73020926"/>
    <w:rsid w:val="73231878"/>
    <w:rsid w:val="734D16D9"/>
    <w:rsid w:val="738BFFD0"/>
    <w:rsid w:val="73AFBB99"/>
    <w:rsid w:val="73DFBF25"/>
    <w:rsid w:val="7452AB50"/>
    <w:rsid w:val="7474DD2E"/>
    <w:rsid w:val="74A55AC4"/>
    <w:rsid w:val="74FF9E7E"/>
    <w:rsid w:val="750D4CD7"/>
    <w:rsid w:val="7533313D"/>
    <w:rsid w:val="753A6C6C"/>
    <w:rsid w:val="757C06FA"/>
    <w:rsid w:val="75D57CEC"/>
    <w:rsid w:val="75F2B697"/>
    <w:rsid w:val="76181BF9"/>
    <w:rsid w:val="76541C6B"/>
    <w:rsid w:val="767DA06C"/>
    <w:rsid w:val="769AA1DA"/>
    <w:rsid w:val="76D3EA7F"/>
    <w:rsid w:val="77285BAD"/>
    <w:rsid w:val="77347CE3"/>
    <w:rsid w:val="77602B88"/>
    <w:rsid w:val="776FE5C6"/>
    <w:rsid w:val="77A13D45"/>
    <w:rsid w:val="77DAE178"/>
    <w:rsid w:val="78306CB6"/>
    <w:rsid w:val="783D8EA5"/>
    <w:rsid w:val="784A9198"/>
    <w:rsid w:val="785BAA2F"/>
    <w:rsid w:val="785F5A29"/>
    <w:rsid w:val="78A6E6CE"/>
    <w:rsid w:val="78D91B70"/>
    <w:rsid w:val="7920D946"/>
    <w:rsid w:val="796ED489"/>
    <w:rsid w:val="79AA558B"/>
    <w:rsid w:val="79C27D6B"/>
    <w:rsid w:val="79ED2854"/>
    <w:rsid w:val="7A480A00"/>
    <w:rsid w:val="7A58638D"/>
    <w:rsid w:val="7A93551E"/>
    <w:rsid w:val="7AA3A2B3"/>
    <w:rsid w:val="7AA524D3"/>
    <w:rsid w:val="7AA587EA"/>
    <w:rsid w:val="7AB6C857"/>
    <w:rsid w:val="7B17DBBE"/>
    <w:rsid w:val="7B334639"/>
    <w:rsid w:val="7B4764AF"/>
    <w:rsid w:val="7B4F9F3B"/>
    <w:rsid w:val="7B766EAB"/>
    <w:rsid w:val="7C360D19"/>
    <w:rsid w:val="7C43476B"/>
    <w:rsid w:val="7C542480"/>
    <w:rsid w:val="7C7D5122"/>
    <w:rsid w:val="7C8A8AD7"/>
    <w:rsid w:val="7CAC1EEB"/>
    <w:rsid w:val="7CB1CA99"/>
    <w:rsid w:val="7CDAA5AB"/>
    <w:rsid w:val="7D05208C"/>
    <w:rsid w:val="7D37EFB3"/>
    <w:rsid w:val="7D38F1E9"/>
    <w:rsid w:val="7D98954C"/>
    <w:rsid w:val="7E17BE2B"/>
    <w:rsid w:val="7E3E171A"/>
    <w:rsid w:val="7E898C08"/>
    <w:rsid w:val="7E90B47E"/>
    <w:rsid w:val="7E9E4A7A"/>
    <w:rsid w:val="7EBD323B"/>
    <w:rsid w:val="7EC6EE8F"/>
    <w:rsid w:val="7F418AA3"/>
    <w:rsid w:val="7F47609D"/>
    <w:rsid w:val="7F6CF075"/>
    <w:rsid w:val="7FB64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29FCE2BF-6CC6-43D1-98EB-C3A29EE0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41749"/>
    <w:pPr>
      <w:spacing w:after="240"/>
    </w:pPr>
    <w:rPr>
      <w:rFonts w:ascii="Arial" w:hAnsi="Arial"/>
      <w:color w:val="505150"/>
      <w:sz w:val="22"/>
      <w:szCs w:val="22"/>
    </w:rPr>
  </w:style>
  <w:style w:type="paragraph" w:styleId="Heading1">
    <w:name w:val="heading 1"/>
    <w:next w:val="Normal"/>
    <w:link w:val="Heading1Char"/>
    <w:qFormat/>
    <w:rsid w:val="003C7D55"/>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B127AB"/>
    <w:pPr>
      <w:numPr>
        <w:numId w:val="6"/>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CD640E"/>
    <w:pPr>
      <w:numPr>
        <w:numId w:val="23"/>
      </w:numPr>
      <w:outlineLvl w:val="2"/>
    </w:pPr>
    <w:rPr>
      <w:bCs/>
      <w:color w:val="005DAA"/>
      <w:sz w:val="22"/>
      <w:szCs w:val="22"/>
    </w:rPr>
  </w:style>
  <w:style w:type="paragraph" w:styleId="Heading4">
    <w:name w:val="heading 4"/>
    <w:basedOn w:val="Heading3"/>
    <w:next w:val="Normal"/>
    <w:link w:val="Heading4Char"/>
    <w:qFormat/>
    <w:rsid w:val="00153CDB"/>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C7D55"/>
    <w:rPr>
      <w:rFonts w:ascii="Arial" w:eastAsia="MS Gothic" w:hAnsi="Arial" w:cs="Arial"/>
      <w:b/>
      <w:bCs/>
      <w:color w:val="005DAA"/>
      <w:kern w:val="32"/>
      <w:sz w:val="28"/>
      <w:szCs w:val="32"/>
    </w:rPr>
  </w:style>
  <w:style w:type="character" w:customStyle="1" w:styleId="Heading2Char">
    <w:name w:val="Heading 2 Char"/>
    <w:link w:val="Heading2"/>
    <w:rsid w:val="00B127AB"/>
    <w:rPr>
      <w:rFonts w:ascii="Arial" w:eastAsia="MS PGothic" w:hAnsi="Arial" w:cs="Arial"/>
      <w:b/>
      <w:iCs/>
      <w:color w:val="373737"/>
      <w:kern w:val="32"/>
      <w:sz w:val="24"/>
      <w:szCs w:val="28"/>
    </w:rPr>
  </w:style>
  <w:style w:type="character" w:customStyle="1" w:styleId="Heading3Char">
    <w:name w:val="Heading 3 Char"/>
    <w:link w:val="Heading3"/>
    <w:rsid w:val="00CD640E"/>
    <w:rPr>
      <w:rFonts w:ascii="Arial" w:eastAsia="MS PGothic" w:hAnsi="Arial" w:cs="Arial"/>
      <w:b/>
      <w:bCs/>
      <w:iCs/>
      <w:color w:val="005DAA"/>
      <w:kern w:val="32"/>
      <w:sz w:val="22"/>
      <w:szCs w:val="22"/>
    </w:rPr>
  </w:style>
  <w:style w:type="character" w:customStyle="1" w:styleId="Heading4Char">
    <w:name w:val="Heading 4 Char"/>
    <w:link w:val="Heading4"/>
    <w:rsid w:val="00153CDB"/>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3"/>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A072E3"/>
    <w:pPr>
      <w:numPr>
        <w:numId w:val="45"/>
      </w:num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styleId="NormalWeb">
    <w:name w:val="Normal (Web)"/>
    <w:basedOn w:val="Normal"/>
    <w:uiPriority w:val="99"/>
    <w:semiHidden/>
    <w:unhideWhenUsed/>
    <w:rsid w:val="007D0FF6"/>
    <w:pPr>
      <w:spacing w:before="100" w:beforeAutospacing="1" w:after="100" w:afterAutospacing="1"/>
    </w:pPr>
    <w:rPr>
      <w:rFonts w:ascii="Times New Roman" w:hAnsi="Times New Roman"/>
      <w:color w:val="auto"/>
      <w:sz w:val="24"/>
      <w:szCs w:val="24"/>
    </w:rPr>
  </w:style>
  <w:style w:type="paragraph" w:customStyle="1" w:styleId="ReportTitle">
    <w:name w:val="Report Title"/>
    <w:basedOn w:val="DocumentTitle"/>
    <w:qFormat/>
    <w:rsid w:val="00A42B26"/>
    <w:rPr>
      <w:caps/>
      <w:color w:val="4F81BD" w:themeColor="accent1"/>
      <w:spacing w:val="-10"/>
      <w:sz w:val="42"/>
    </w:rPr>
  </w:style>
  <w:style w:type="paragraph" w:customStyle="1" w:styleId="TableHeader">
    <w:name w:val="Table Header"/>
    <w:basedOn w:val="Normal"/>
    <w:rsid w:val="00AE1D06"/>
    <w:pPr>
      <w:spacing w:before="240" w:after="60"/>
    </w:pPr>
    <w:rPr>
      <w:rFonts w:ascii="Arial Nova" w:hAnsi="Arial Nova" w:cs="Arial"/>
      <w:b/>
      <w:bCs/>
      <w:color w:val="626366"/>
      <w:szCs w:val="32"/>
    </w:rPr>
  </w:style>
  <w:style w:type="paragraph" w:customStyle="1" w:styleId="TableTextCurrency">
    <w:name w:val="Table Text Currency"/>
    <w:basedOn w:val="Normal"/>
    <w:rsid w:val="00112851"/>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 w:type="paragraph" w:customStyle="1" w:styleId="paragraph">
    <w:name w:val="paragraph"/>
    <w:basedOn w:val="Normal"/>
    <w:rsid w:val="00687FAC"/>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687FAC"/>
  </w:style>
  <w:style w:type="character" w:customStyle="1" w:styleId="eop">
    <w:name w:val="eop"/>
    <w:basedOn w:val="DefaultParagraphFont"/>
    <w:rsid w:val="0068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98">
      <w:bodyDiv w:val="1"/>
      <w:marLeft w:val="0"/>
      <w:marRight w:val="0"/>
      <w:marTop w:val="0"/>
      <w:marBottom w:val="0"/>
      <w:divBdr>
        <w:top w:val="none" w:sz="0" w:space="0" w:color="auto"/>
        <w:left w:val="none" w:sz="0" w:space="0" w:color="auto"/>
        <w:bottom w:val="none" w:sz="0" w:space="0" w:color="auto"/>
        <w:right w:val="none" w:sz="0" w:space="0" w:color="auto"/>
      </w:divBdr>
      <w:divsChild>
        <w:div w:id="372538370">
          <w:marLeft w:val="0"/>
          <w:marRight w:val="0"/>
          <w:marTop w:val="0"/>
          <w:marBottom w:val="0"/>
          <w:divBdr>
            <w:top w:val="none" w:sz="0" w:space="0" w:color="auto"/>
            <w:left w:val="none" w:sz="0" w:space="0" w:color="auto"/>
            <w:bottom w:val="none" w:sz="0" w:space="0" w:color="auto"/>
            <w:right w:val="none" w:sz="0" w:space="0" w:color="auto"/>
          </w:divBdr>
        </w:div>
        <w:div w:id="931622547">
          <w:marLeft w:val="0"/>
          <w:marRight w:val="0"/>
          <w:marTop w:val="0"/>
          <w:marBottom w:val="0"/>
          <w:divBdr>
            <w:top w:val="none" w:sz="0" w:space="0" w:color="auto"/>
            <w:left w:val="none" w:sz="0" w:space="0" w:color="auto"/>
            <w:bottom w:val="none" w:sz="0" w:space="0" w:color="auto"/>
            <w:right w:val="none" w:sz="0" w:space="0" w:color="auto"/>
          </w:divBdr>
        </w:div>
        <w:div w:id="1581676964">
          <w:marLeft w:val="0"/>
          <w:marRight w:val="0"/>
          <w:marTop w:val="0"/>
          <w:marBottom w:val="0"/>
          <w:divBdr>
            <w:top w:val="none" w:sz="0" w:space="0" w:color="auto"/>
            <w:left w:val="none" w:sz="0" w:space="0" w:color="auto"/>
            <w:bottom w:val="none" w:sz="0" w:space="0" w:color="auto"/>
            <w:right w:val="none" w:sz="0" w:space="0" w:color="auto"/>
          </w:divBdr>
        </w:div>
      </w:divsChild>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1963143">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646130885">
      <w:bodyDiv w:val="1"/>
      <w:marLeft w:val="0"/>
      <w:marRight w:val="0"/>
      <w:marTop w:val="0"/>
      <w:marBottom w:val="0"/>
      <w:divBdr>
        <w:top w:val="none" w:sz="0" w:space="0" w:color="auto"/>
        <w:left w:val="none" w:sz="0" w:space="0" w:color="auto"/>
        <w:bottom w:val="none" w:sz="0" w:space="0" w:color="auto"/>
        <w:right w:val="none" w:sz="0" w:space="0" w:color="auto"/>
      </w:divBdr>
    </w:div>
    <w:div w:id="725952142">
      <w:bodyDiv w:val="1"/>
      <w:marLeft w:val="0"/>
      <w:marRight w:val="0"/>
      <w:marTop w:val="0"/>
      <w:marBottom w:val="0"/>
      <w:divBdr>
        <w:top w:val="none" w:sz="0" w:space="0" w:color="auto"/>
        <w:left w:val="none" w:sz="0" w:space="0" w:color="auto"/>
        <w:bottom w:val="none" w:sz="0" w:space="0" w:color="auto"/>
        <w:right w:val="none" w:sz="0" w:space="0" w:color="auto"/>
      </w:divBdr>
    </w:div>
    <w:div w:id="846407122">
      <w:bodyDiv w:val="1"/>
      <w:marLeft w:val="0"/>
      <w:marRight w:val="0"/>
      <w:marTop w:val="0"/>
      <w:marBottom w:val="0"/>
      <w:divBdr>
        <w:top w:val="none" w:sz="0" w:space="0" w:color="auto"/>
        <w:left w:val="none" w:sz="0" w:space="0" w:color="auto"/>
        <w:bottom w:val="none" w:sz="0" w:space="0" w:color="auto"/>
        <w:right w:val="none" w:sz="0" w:space="0" w:color="auto"/>
      </w:divBdr>
    </w:div>
    <w:div w:id="86895890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323581911">
      <w:bodyDiv w:val="1"/>
      <w:marLeft w:val="0"/>
      <w:marRight w:val="0"/>
      <w:marTop w:val="0"/>
      <w:marBottom w:val="0"/>
      <w:divBdr>
        <w:top w:val="none" w:sz="0" w:space="0" w:color="auto"/>
        <w:left w:val="none" w:sz="0" w:space="0" w:color="auto"/>
        <w:bottom w:val="none" w:sz="0" w:space="0" w:color="auto"/>
        <w:right w:val="none" w:sz="0" w:space="0" w:color="auto"/>
      </w:divBdr>
    </w:div>
    <w:div w:id="1379747317">
      <w:bodyDiv w:val="1"/>
      <w:marLeft w:val="0"/>
      <w:marRight w:val="0"/>
      <w:marTop w:val="0"/>
      <w:marBottom w:val="0"/>
      <w:divBdr>
        <w:top w:val="none" w:sz="0" w:space="0" w:color="auto"/>
        <w:left w:val="none" w:sz="0" w:space="0" w:color="auto"/>
        <w:bottom w:val="none" w:sz="0" w:space="0" w:color="auto"/>
        <w:right w:val="none" w:sz="0" w:space="0" w:color="auto"/>
      </w:divBdr>
    </w:div>
    <w:div w:id="206163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rcgis.metc.state.mn.us/portal/apps/experiencebuilder/experience/?id=03cdb8e6a8e74c6eb530965b35208e76&amp;page=Dynamic-%26-Resilient&amp;views=Roadway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magine2050.metrocouncil.org/media/rhqlbrpi/figure-812-map-of-transit-market-areas-1.jpg?rmode=max&amp;height=13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BCA79CC234D67A95BF6133E19B099"/>
        <w:category>
          <w:name w:val="General"/>
          <w:gallery w:val="placeholder"/>
        </w:category>
        <w:types>
          <w:type w:val="bbPlcHdr"/>
        </w:types>
        <w:behaviors>
          <w:behavior w:val="content"/>
        </w:behaviors>
        <w:guid w:val="{61835B95-E90E-4FE3-A828-AF84556CF91F}"/>
      </w:docPartPr>
      <w:docPartBody>
        <w:p w:rsidR="00257677" w:rsidRDefault="00354658" w:rsidP="00354658">
          <w:pPr>
            <w:pStyle w:val="BDDBCA79CC234D67A95BF6133E19B099"/>
          </w:pPr>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58"/>
    <w:rsid w:val="000740A0"/>
    <w:rsid w:val="0008443B"/>
    <w:rsid w:val="000A0F6B"/>
    <w:rsid w:val="000D0EF7"/>
    <w:rsid w:val="000F6229"/>
    <w:rsid w:val="00121DCC"/>
    <w:rsid w:val="001275B9"/>
    <w:rsid w:val="00133C57"/>
    <w:rsid w:val="0013538E"/>
    <w:rsid w:val="00145EE0"/>
    <w:rsid w:val="001E163A"/>
    <w:rsid w:val="001F3694"/>
    <w:rsid w:val="00200199"/>
    <w:rsid w:val="00246B62"/>
    <w:rsid w:val="00257677"/>
    <w:rsid w:val="002C29BE"/>
    <w:rsid w:val="00306CE7"/>
    <w:rsid w:val="00342A74"/>
    <w:rsid w:val="00354658"/>
    <w:rsid w:val="003B5316"/>
    <w:rsid w:val="00406EC0"/>
    <w:rsid w:val="00450067"/>
    <w:rsid w:val="00464CF0"/>
    <w:rsid w:val="00475CF1"/>
    <w:rsid w:val="004967EC"/>
    <w:rsid w:val="004B09FD"/>
    <w:rsid w:val="005209D5"/>
    <w:rsid w:val="0052237E"/>
    <w:rsid w:val="005A7820"/>
    <w:rsid w:val="005F642D"/>
    <w:rsid w:val="0060190B"/>
    <w:rsid w:val="00657685"/>
    <w:rsid w:val="00681544"/>
    <w:rsid w:val="006B5F14"/>
    <w:rsid w:val="006E6F23"/>
    <w:rsid w:val="006F1915"/>
    <w:rsid w:val="0077606E"/>
    <w:rsid w:val="00815882"/>
    <w:rsid w:val="00825848"/>
    <w:rsid w:val="008379F7"/>
    <w:rsid w:val="0087462E"/>
    <w:rsid w:val="009509CC"/>
    <w:rsid w:val="00962B33"/>
    <w:rsid w:val="009A19C9"/>
    <w:rsid w:val="009B19E4"/>
    <w:rsid w:val="009B4945"/>
    <w:rsid w:val="009B78D3"/>
    <w:rsid w:val="009E6BED"/>
    <w:rsid w:val="00A42640"/>
    <w:rsid w:val="00A441F7"/>
    <w:rsid w:val="00A46105"/>
    <w:rsid w:val="00A470D7"/>
    <w:rsid w:val="00A56355"/>
    <w:rsid w:val="00A72AFF"/>
    <w:rsid w:val="00A74287"/>
    <w:rsid w:val="00AD5A00"/>
    <w:rsid w:val="00AE18E0"/>
    <w:rsid w:val="00B2558D"/>
    <w:rsid w:val="00B56870"/>
    <w:rsid w:val="00BC467E"/>
    <w:rsid w:val="00C403FE"/>
    <w:rsid w:val="00D53F7B"/>
    <w:rsid w:val="00D56969"/>
    <w:rsid w:val="00D8730C"/>
    <w:rsid w:val="00D92B13"/>
    <w:rsid w:val="00D92B57"/>
    <w:rsid w:val="00E40EC1"/>
    <w:rsid w:val="00EB65D7"/>
    <w:rsid w:val="00F07B4D"/>
    <w:rsid w:val="00F11D86"/>
    <w:rsid w:val="00F24C1C"/>
    <w:rsid w:val="00F732A5"/>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658"/>
    <w:rPr>
      <w:color w:val="666666"/>
    </w:rPr>
  </w:style>
  <w:style w:type="paragraph" w:customStyle="1" w:styleId="BDDBCA79CC234D67A95BF6133E19B099">
    <w:name w:val="BDDBCA79CC234D67A95BF6133E19B099"/>
    <w:rsid w:val="00354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2.xml><?xml version="1.0" encoding="utf-8"?>
<?mso-contentType ?>
<SharedContentType xmlns="Microsoft.SharePoint.Taxonomy.ContentTypeSync" SourceId="7f0ffc36-a9af-4332-beee-56f6503c83c2"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2.xml><?xml version="1.0" encoding="utf-8"?>
<ds:datastoreItem xmlns:ds="http://schemas.openxmlformats.org/officeDocument/2006/customXml" ds:itemID="{DEA48822-69B0-4BA3-99EB-23DFBA888694}">
  <ds:schemaRefs>
    <ds:schemaRef ds:uri="Microsoft.SharePoint.Taxonomy.ContentTypeSync"/>
  </ds:schemaRefs>
</ds:datastoreItem>
</file>

<file path=customXml/itemProps3.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4.xml><?xml version="1.0" encoding="utf-8"?>
<ds:datastoreItem xmlns:ds="http://schemas.openxmlformats.org/officeDocument/2006/customXml" ds:itemID="{F78484A3-9DD1-46C3-8599-0399E27DC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60BEB-5FC1-483B-9DA4-35E7A22EE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3863</Words>
  <Characters>22024</Characters>
  <Application>Microsoft Office Word</Application>
  <DocSecurity>0</DocSecurity>
  <Lines>183</Lines>
  <Paragraphs>51</Paragraphs>
  <ScaleCrop>false</ScaleCrop>
  <Company>METROPOLITAN COUNCIL</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Expansion</dc:title>
  <dc:subject/>
  <dc:creator>Maaske, Sara</dc:creator>
  <cp:keywords/>
  <cp:lastModifiedBy>Brandt-Sargent, Bethany</cp:lastModifiedBy>
  <cp:revision>22</cp:revision>
  <cp:lastPrinted>2025-12-12T17:28:00Z</cp:lastPrinted>
  <dcterms:created xsi:type="dcterms:W3CDTF">2025-12-09T20:24:00Z</dcterms:created>
  <dcterms:modified xsi:type="dcterms:W3CDTF">2026-04-27T14:43:00Z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
  </property>
</Properties>
</file>