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F455" w14:textId="4857FFA8" w:rsidR="00D8517B" w:rsidRDefault="00A75739" w:rsidP="00A75739">
      <w:pPr>
        <w:pStyle w:val="Title"/>
      </w:pPr>
      <w:r>
        <w:t xml:space="preserve">Introduction: </w:t>
      </w:r>
      <w:r w:rsidR="00D8517B">
        <w:t>Regional Solicitation for Transportation Projects</w:t>
      </w:r>
      <w:r>
        <w:t xml:space="preserve"> </w:t>
      </w:r>
    </w:p>
    <w:p w14:paraId="311F27F6" w14:textId="15A11416" w:rsidR="00D8517B" w:rsidRPr="00813AD1" w:rsidRDefault="00D8517B" w:rsidP="00C87D42">
      <w:r w:rsidRPr="00813AD1">
        <w:t>The Regional Solicitation</w:t>
      </w:r>
      <w:r w:rsidR="001D504A" w:rsidRPr="00813AD1">
        <w:t>, including Active Transportation Solicitation,</w:t>
      </w:r>
      <w:r w:rsidRPr="00813AD1">
        <w:t xml:space="preserve"> is a </w:t>
      </w:r>
      <w:r w:rsidR="006E61FA" w:rsidRPr="00813AD1">
        <w:t xml:space="preserve">project selection </w:t>
      </w:r>
      <w:r w:rsidRPr="00813AD1">
        <w:t xml:space="preserve">process to award federal </w:t>
      </w:r>
      <w:r w:rsidR="00D91A69" w:rsidRPr="00813AD1">
        <w:t xml:space="preserve">and regional </w:t>
      </w:r>
      <w:r w:rsidRPr="00813AD1">
        <w:t>transportation funding to projects that meet regional transportation needs.</w:t>
      </w:r>
      <w:r w:rsidR="007817BF" w:rsidRPr="00813AD1">
        <w:t xml:space="preserve"> </w:t>
      </w:r>
      <w:r w:rsidRPr="00813AD1">
        <w:t xml:space="preserve">The </w:t>
      </w:r>
      <w:r w:rsidR="001D504A" w:rsidRPr="00813AD1">
        <w:t>Regional S</w:t>
      </w:r>
      <w:r w:rsidRPr="00813AD1">
        <w:t xml:space="preserve">olicitation </w:t>
      </w:r>
      <w:r w:rsidR="001D504A" w:rsidRPr="00813AD1">
        <w:t xml:space="preserve">process </w:t>
      </w:r>
      <w:r w:rsidRPr="00813AD1">
        <w:t xml:space="preserve">is part of the Metropolitan Council’s federally required continuing, comprehensive, and cooperative transportation planning process for the Twin Cities Metropolitan Area. The </w:t>
      </w:r>
      <w:r w:rsidR="002A4C52" w:rsidRPr="00813AD1">
        <w:t xml:space="preserve">Regional Solicitation for federal </w:t>
      </w:r>
      <w:r w:rsidRPr="00813AD1">
        <w:t xml:space="preserve">funding program and related rules and requirements </w:t>
      </w:r>
      <w:proofErr w:type="gramStart"/>
      <w:r w:rsidRPr="00813AD1">
        <w:t>are</w:t>
      </w:r>
      <w:proofErr w:type="gramEnd"/>
      <w:r w:rsidRPr="00813AD1">
        <w:t xml:space="preserve"> established by the U.S. Department of Transportation (USDOT) and administered locally through collaboration with the Federal Highway Administration (FHWA), the Federal Transit Administration (FTA), and the Minnesota Department of Transportation (MnDOT). </w:t>
      </w:r>
      <w:r w:rsidR="002A4C52" w:rsidRPr="00813AD1">
        <w:t>The Active Transportation Solicitation for regional sales tax funding program and related rules and requirements are established by the Minnesota Legislature and Transportation Advisory Board</w:t>
      </w:r>
      <w:r w:rsidR="00736797" w:rsidRPr="00813AD1">
        <w:t xml:space="preserve"> (TAB).</w:t>
      </w:r>
    </w:p>
    <w:p w14:paraId="1A7BCDD1" w14:textId="01B87F5A" w:rsidR="00D8517B" w:rsidRPr="00030670" w:rsidRDefault="00D8517B" w:rsidP="00C87D42">
      <w:pPr>
        <w:rPr>
          <w:color w:val="005DAA"/>
        </w:rPr>
      </w:pPr>
      <w:r>
        <w:t xml:space="preserve">The online application can be accessed at: </w:t>
      </w:r>
      <w:hyperlink r:id="rId12" w:history="1">
        <w:r w:rsidR="003C5804" w:rsidRPr="00030670">
          <w:rPr>
            <w:rStyle w:val="Hyperlink"/>
          </w:rPr>
          <w:t>https://metrocouncil.org/Transportation/Planning-2/Transportation-Funding/Regional-Solicitation/Applying-for-Regional-Solicitation-funds.aspx</w:t>
        </w:r>
      </w:hyperlink>
    </w:p>
    <w:p w14:paraId="06BD065F" w14:textId="247AEA50" w:rsidR="00D8517B" w:rsidRDefault="00D8517B" w:rsidP="00E76FEE">
      <w:pPr>
        <w:pStyle w:val="Heading1"/>
      </w:pPr>
      <w:r>
        <w:t>Federal Program Overview</w:t>
      </w:r>
    </w:p>
    <w:p w14:paraId="1CAA1779" w14:textId="6502A3C1" w:rsidR="00D8517B" w:rsidRPr="00813AD1" w:rsidRDefault="00D8517B" w:rsidP="00C87D42">
      <w:r w:rsidRPr="00813AD1">
        <w:t xml:space="preserve">As authorized by the most recent federal surface transportation funding act, </w:t>
      </w:r>
      <w:r w:rsidR="00B85F4D" w:rsidRPr="00813AD1">
        <w:t>the Infrastructure Investment and Jobs Act (</w:t>
      </w:r>
      <w:r w:rsidR="0092292A" w:rsidRPr="00813AD1">
        <w:t>IIJA</w:t>
      </w:r>
      <w:r w:rsidR="00B85F4D" w:rsidRPr="00813AD1">
        <w:t>)</w:t>
      </w:r>
      <w:r w:rsidRPr="00813AD1">
        <w:t xml:space="preserve">, projects will be selected for funding as part of </w:t>
      </w:r>
      <w:r w:rsidR="0029518F" w:rsidRPr="00813AD1">
        <w:t xml:space="preserve">four </w:t>
      </w:r>
      <w:r w:rsidRPr="00813AD1">
        <w:t>federal programs: Surface Transportation Block Grant Program (STBGP)</w:t>
      </w:r>
      <w:r w:rsidR="0092292A" w:rsidRPr="00813AD1">
        <w:t>,</w:t>
      </w:r>
      <w:r w:rsidRPr="00813AD1">
        <w:t xml:space="preserve"> the Congestion Mitigation and Air Quality Improvement (CMAQ) Program</w:t>
      </w:r>
      <w:r w:rsidR="0092292A" w:rsidRPr="00813AD1">
        <w:t xml:space="preserve">, </w:t>
      </w:r>
      <w:r w:rsidR="00BF0171" w:rsidRPr="00813AD1">
        <w:t>Promoting Resilient Operations for Transformative, Efficient, and Cost-Saving Transportation (</w:t>
      </w:r>
      <w:r w:rsidR="0092292A" w:rsidRPr="00813AD1">
        <w:t>PROTECT</w:t>
      </w:r>
      <w:r w:rsidR="00BF0171" w:rsidRPr="00813AD1">
        <w:t>) Program</w:t>
      </w:r>
      <w:r w:rsidR="0029518F" w:rsidRPr="00813AD1">
        <w:t>, and the</w:t>
      </w:r>
      <w:r w:rsidR="0092292A" w:rsidRPr="00813AD1">
        <w:t xml:space="preserve"> Carbon Reduction Program</w:t>
      </w:r>
      <w:r w:rsidR="00DA3DAD" w:rsidRPr="00813AD1">
        <w:t xml:space="preserve"> (CRP).</w:t>
      </w:r>
      <w:r w:rsidR="006D5A2B" w:rsidRPr="00813AD1">
        <w:t xml:space="preserve"> </w:t>
      </w:r>
      <w:r w:rsidRPr="00813AD1">
        <w:t xml:space="preserve">It is assumed that federal funding will continue to be available in </w:t>
      </w:r>
      <w:r w:rsidR="00DA3DAD" w:rsidRPr="00813AD1">
        <w:t xml:space="preserve">2030 </w:t>
      </w:r>
      <w:r w:rsidRPr="00813AD1">
        <w:t xml:space="preserve">and </w:t>
      </w:r>
      <w:r w:rsidR="00DA3DAD" w:rsidRPr="00813AD1">
        <w:t>2031</w:t>
      </w:r>
      <w:r w:rsidRPr="00813AD1">
        <w:t>, but the</w:t>
      </w:r>
      <w:r w:rsidR="00775917" w:rsidRPr="00813AD1">
        <w:t>se funding years are outside of the expiration of IIJA.</w:t>
      </w:r>
      <w:r w:rsidRPr="00813AD1">
        <w:t xml:space="preserve"> </w:t>
      </w:r>
      <w:r w:rsidR="007951B0" w:rsidRPr="00813AD1">
        <w:t>Funding levels, programs, and eligib</w:t>
      </w:r>
      <w:r w:rsidR="28CF6E32" w:rsidRPr="00813AD1">
        <w:t>i</w:t>
      </w:r>
      <w:r w:rsidR="007951B0" w:rsidRPr="00813AD1">
        <w:t>lity may change with a new federal surface transportation program</w:t>
      </w:r>
      <w:r w:rsidR="00AA4691" w:rsidRPr="00813AD1">
        <w:t>, and the Regional Solicitation will need to adjust</w:t>
      </w:r>
      <w:r w:rsidR="003B28BA" w:rsidRPr="00813AD1">
        <w:t xml:space="preserve"> accordingly.</w:t>
      </w:r>
    </w:p>
    <w:p w14:paraId="19CBEFF0" w14:textId="77777777" w:rsidR="00716F11" w:rsidRDefault="00152804" w:rsidP="00716F11">
      <w:pPr>
        <w:pStyle w:val="Heading1"/>
        <w:spacing w:before="0"/>
      </w:pPr>
      <w:r>
        <w:t>Active Transportation Regional Sales Tax Overview</w:t>
      </w:r>
    </w:p>
    <w:p w14:paraId="7355DB5A" w14:textId="52110742" w:rsidR="008A7FF7" w:rsidRPr="00813AD1" w:rsidRDefault="7D5C7B57" w:rsidP="00716F11">
      <w:pPr>
        <w:pStyle w:val="Heading1"/>
        <w:spacing w:before="0"/>
        <w:rPr>
          <w:color w:val="505150"/>
        </w:rPr>
      </w:pPr>
      <w:r w:rsidRPr="00813AD1">
        <w:rPr>
          <w:rFonts w:eastAsia="Times New Roman"/>
          <w:b w:val="0"/>
          <w:bCs w:val="0"/>
          <w:color w:val="505150"/>
          <w:sz w:val="22"/>
          <w:szCs w:val="22"/>
        </w:rPr>
        <w:t>I</w:t>
      </w:r>
      <w:r w:rsidR="0246DF64" w:rsidRPr="00813AD1">
        <w:rPr>
          <w:rFonts w:eastAsia="Times New Roman"/>
          <w:b w:val="0"/>
          <w:bCs w:val="0"/>
          <w:color w:val="505150"/>
          <w:sz w:val="22"/>
          <w:szCs w:val="22"/>
        </w:rPr>
        <w:t>n 2023</w:t>
      </w:r>
      <w:r w:rsidR="332C9C1F" w:rsidRPr="00813AD1">
        <w:rPr>
          <w:rFonts w:eastAsia="Times New Roman"/>
          <w:b w:val="0"/>
          <w:bCs w:val="0"/>
          <w:color w:val="505150"/>
          <w:sz w:val="22"/>
          <w:szCs w:val="22"/>
        </w:rPr>
        <w:t>,</w:t>
      </w:r>
      <w:r w:rsidR="69458B04" w:rsidRPr="00813AD1">
        <w:rPr>
          <w:rFonts w:eastAsia="Times New Roman"/>
          <w:b w:val="0"/>
          <w:bCs w:val="0"/>
          <w:color w:val="505150"/>
          <w:sz w:val="22"/>
          <w:szCs w:val="22"/>
        </w:rPr>
        <w:t xml:space="preserve"> </w:t>
      </w:r>
      <w:r w:rsidR="006BFBDE" w:rsidRPr="00813AD1">
        <w:rPr>
          <w:rFonts w:eastAsia="Times New Roman"/>
          <w:b w:val="0"/>
          <w:color w:val="505150"/>
          <w:sz w:val="22"/>
          <w:szCs w:val="22"/>
        </w:rPr>
        <w:t xml:space="preserve">the Minnesota </w:t>
      </w:r>
      <w:r w:rsidR="77FB83C5" w:rsidRPr="00813AD1">
        <w:rPr>
          <w:rFonts w:eastAsia="Times New Roman"/>
          <w:b w:val="0"/>
          <w:bCs w:val="0"/>
          <w:color w:val="505150"/>
          <w:sz w:val="22"/>
          <w:szCs w:val="22"/>
        </w:rPr>
        <w:t xml:space="preserve">Legislature approved a </w:t>
      </w:r>
      <w:hyperlink r:id="rId13" w:history="1">
        <w:r w:rsidR="77FB83C5" w:rsidRPr="00030670">
          <w:rPr>
            <w:rStyle w:val="Hyperlink"/>
            <w:rFonts w:eastAsia="Times New Roman"/>
            <w:b w:val="0"/>
            <w:bCs w:val="0"/>
            <w:sz w:val="22"/>
            <w:szCs w:val="22"/>
          </w:rPr>
          <w:t>new regional sales tax</w:t>
        </w:r>
      </w:hyperlink>
      <w:r w:rsidR="77FB83C5" w:rsidRPr="00813AD1">
        <w:rPr>
          <w:rFonts w:eastAsia="Times New Roman"/>
          <w:b w:val="0"/>
          <w:bCs w:val="0"/>
          <w:color w:val="505150"/>
          <w:sz w:val="22"/>
          <w:szCs w:val="22"/>
        </w:rPr>
        <w:t xml:space="preserve"> for the seven-county region to support various transportation improvements. A portion of this new sales tax was</w:t>
      </w:r>
      <w:r w:rsidR="69458B04" w:rsidRPr="00813AD1">
        <w:rPr>
          <w:rFonts w:eastAsia="Times New Roman"/>
          <w:b w:val="0"/>
          <w:bCs w:val="0"/>
          <w:color w:val="505150"/>
          <w:sz w:val="22"/>
          <w:szCs w:val="22"/>
        </w:rPr>
        <w:t xml:space="preserve"> established </w:t>
      </w:r>
      <w:r w:rsidR="5DB72761" w:rsidRPr="00813AD1">
        <w:rPr>
          <w:rFonts w:eastAsia="Times New Roman"/>
          <w:b w:val="0"/>
          <w:bCs w:val="0"/>
          <w:color w:val="505150"/>
          <w:sz w:val="22"/>
          <w:szCs w:val="22"/>
        </w:rPr>
        <w:t xml:space="preserve">to provide </w:t>
      </w:r>
      <w:r w:rsidR="69458B04" w:rsidRPr="00813AD1">
        <w:rPr>
          <w:rFonts w:eastAsia="Times New Roman"/>
          <w:b w:val="0"/>
          <w:bCs w:val="0"/>
          <w:color w:val="505150"/>
          <w:sz w:val="22"/>
          <w:szCs w:val="22"/>
        </w:rPr>
        <w:t xml:space="preserve">a dedicated funding source to be distributed by TAB for active transportation investments in the region. </w:t>
      </w:r>
      <w:r w:rsidR="116515DD" w:rsidRPr="00813AD1">
        <w:rPr>
          <w:rFonts w:eastAsia="Times New Roman"/>
          <w:b w:val="0"/>
          <w:bCs w:val="0"/>
          <w:color w:val="505150"/>
          <w:sz w:val="22"/>
          <w:szCs w:val="22"/>
        </w:rPr>
        <w:t>This new source of funding is expected to provide $20 million to $24 million annually for</w:t>
      </w:r>
      <w:r w:rsidR="69458B04" w:rsidRPr="00813AD1">
        <w:rPr>
          <w:rFonts w:eastAsia="Times New Roman"/>
          <w:b w:val="0"/>
          <w:bCs w:val="0"/>
          <w:color w:val="505150"/>
          <w:sz w:val="22"/>
          <w:szCs w:val="22"/>
        </w:rPr>
        <w:t xml:space="preserve"> </w:t>
      </w:r>
      <w:r w:rsidR="116515DD" w:rsidRPr="00813AD1">
        <w:rPr>
          <w:rFonts w:eastAsia="Times New Roman"/>
          <w:b w:val="0"/>
          <w:bCs w:val="0"/>
          <w:color w:val="505150"/>
          <w:sz w:val="22"/>
          <w:szCs w:val="22"/>
        </w:rPr>
        <w:t>active transportation ini</w:t>
      </w:r>
      <w:r w:rsidR="737AECE5" w:rsidRPr="00813AD1">
        <w:rPr>
          <w:rFonts w:eastAsia="Times New Roman"/>
          <w:b w:val="0"/>
          <w:bCs w:val="0"/>
          <w:color w:val="505150"/>
          <w:sz w:val="22"/>
          <w:szCs w:val="22"/>
        </w:rPr>
        <w:t>ti</w:t>
      </w:r>
      <w:r w:rsidR="116515DD" w:rsidRPr="00813AD1">
        <w:rPr>
          <w:rFonts w:eastAsia="Times New Roman"/>
          <w:b w:val="0"/>
          <w:bCs w:val="0"/>
          <w:color w:val="505150"/>
          <w:sz w:val="22"/>
          <w:szCs w:val="22"/>
        </w:rPr>
        <w:t>atives.</w:t>
      </w:r>
      <w:r w:rsidR="69458B04" w:rsidRPr="00813AD1">
        <w:rPr>
          <w:rFonts w:eastAsia="Times New Roman"/>
          <w:b w:val="0"/>
          <w:bCs w:val="0"/>
          <w:color w:val="505150"/>
          <w:sz w:val="22"/>
          <w:szCs w:val="22"/>
        </w:rPr>
        <w:t xml:space="preserve"> </w:t>
      </w:r>
      <w:r w:rsidR="05F9500A" w:rsidRPr="00813AD1">
        <w:rPr>
          <w:rFonts w:eastAsia="Times New Roman"/>
          <w:b w:val="0"/>
          <w:bCs w:val="0"/>
          <w:color w:val="505150"/>
          <w:sz w:val="22"/>
          <w:szCs w:val="22"/>
        </w:rPr>
        <w:t xml:space="preserve">A </w:t>
      </w:r>
      <w:hyperlink r:id="rId14" w:history="1">
        <w:r w:rsidR="05F9500A" w:rsidRPr="00030670">
          <w:rPr>
            <w:rStyle w:val="Hyperlink"/>
            <w:rFonts w:eastAsia="Times New Roman"/>
            <w:b w:val="0"/>
            <w:bCs w:val="0"/>
            <w:sz w:val="22"/>
            <w:szCs w:val="22"/>
          </w:rPr>
          <w:t>working group</w:t>
        </w:r>
      </w:hyperlink>
      <w:r w:rsidR="05F9500A" w:rsidRPr="00813AD1">
        <w:rPr>
          <w:rFonts w:eastAsia="Times New Roman"/>
          <w:b w:val="0"/>
          <w:bCs w:val="0"/>
          <w:color w:val="505150"/>
          <w:sz w:val="22"/>
          <w:szCs w:val="22"/>
        </w:rPr>
        <w:t xml:space="preserve"> of TAB and technical members was established to provide </w:t>
      </w:r>
      <w:r w:rsidR="5709A4DB" w:rsidRPr="00813AD1">
        <w:rPr>
          <w:rFonts w:eastAsia="Times New Roman"/>
          <w:b w:val="0"/>
          <w:bCs w:val="0"/>
          <w:color w:val="505150"/>
          <w:sz w:val="22"/>
          <w:szCs w:val="22"/>
        </w:rPr>
        <w:t xml:space="preserve">policy </w:t>
      </w:r>
      <w:r w:rsidR="05F9500A" w:rsidRPr="00813AD1">
        <w:rPr>
          <w:rFonts w:eastAsia="Times New Roman"/>
          <w:b w:val="0"/>
          <w:bCs w:val="0"/>
          <w:color w:val="505150"/>
          <w:sz w:val="22"/>
          <w:szCs w:val="22"/>
        </w:rPr>
        <w:t>recommendations for the</w:t>
      </w:r>
      <w:r w:rsidR="69458B04" w:rsidRPr="00813AD1">
        <w:rPr>
          <w:rFonts w:eastAsia="Times New Roman"/>
          <w:b w:val="0"/>
          <w:bCs w:val="0"/>
          <w:color w:val="505150"/>
          <w:sz w:val="22"/>
          <w:szCs w:val="22"/>
        </w:rPr>
        <w:t xml:space="preserve"> </w:t>
      </w:r>
      <w:r w:rsidR="05F9500A" w:rsidRPr="00813AD1">
        <w:rPr>
          <w:rFonts w:eastAsia="Times New Roman"/>
          <w:b w:val="0"/>
          <w:bCs w:val="0"/>
          <w:color w:val="505150"/>
          <w:sz w:val="22"/>
          <w:szCs w:val="22"/>
        </w:rPr>
        <w:t>2026 Solicitation.</w:t>
      </w:r>
      <w:r w:rsidR="69458B04" w:rsidRPr="00813AD1">
        <w:rPr>
          <w:rFonts w:eastAsia="Times New Roman"/>
          <w:b w:val="0"/>
          <w:bCs w:val="0"/>
          <w:color w:val="505150"/>
          <w:sz w:val="22"/>
          <w:szCs w:val="22"/>
        </w:rPr>
        <w:t xml:space="preserve"> </w:t>
      </w:r>
      <w:r w:rsidR="3BA6E582" w:rsidRPr="00813AD1">
        <w:rPr>
          <w:rFonts w:eastAsia="Times New Roman"/>
          <w:b w:val="0"/>
          <w:bCs w:val="0"/>
          <w:color w:val="505150"/>
          <w:sz w:val="22"/>
          <w:szCs w:val="22"/>
        </w:rPr>
        <w:t xml:space="preserve">The legislation includes the following </w:t>
      </w:r>
      <w:r w:rsidR="71F0AE59" w:rsidRPr="00813AD1">
        <w:rPr>
          <w:rFonts w:eastAsia="Times New Roman"/>
          <w:b w:val="0"/>
          <w:bCs w:val="0"/>
          <w:color w:val="505150"/>
          <w:sz w:val="22"/>
          <w:szCs w:val="22"/>
        </w:rPr>
        <w:t>criteria and prioritization</w:t>
      </w:r>
      <w:r w:rsidR="39D55D01" w:rsidRPr="00813AD1">
        <w:rPr>
          <w:rFonts w:eastAsia="Times New Roman"/>
          <w:b w:val="0"/>
          <w:bCs w:val="0"/>
          <w:color w:val="505150"/>
          <w:sz w:val="22"/>
          <w:szCs w:val="22"/>
        </w:rPr>
        <w:t xml:space="preserve"> </w:t>
      </w:r>
      <w:r w:rsidR="5E38A65F" w:rsidRPr="00813AD1">
        <w:rPr>
          <w:rFonts w:eastAsia="Times New Roman"/>
          <w:b w:val="0"/>
          <w:bCs w:val="0"/>
          <w:color w:val="505150"/>
          <w:sz w:val="22"/>
          <w:szCs w:val="22"/>
        </w:rPr>
        <w:t>of projects that are required to be considered and included in the solicitation:</w:t>
      </w:r>
    </w:p>
    <w:p w14:paraId="079F67DE" w14:textId="658F4BF7" w:rsidR="5F1786D8" w:rsidRPr="00813AD1" w:rsidRDefault="5F1786D8" w:rsidP="005D7D64">
      <w:pPr>
        <w:pStyle w:val="ListParagraph"/>
        <w:numPr>
          <w:ilvl w:val="0"/>
          <w:numId w:val="9"/>
        </w:numPr>
        <w:spacing w:after="0"/>
        <w:rPr>
          <w:rFonts w:eastAsia="Arial" w:cs="Arial"/>
        </w:rPr>
      </w:pPr>
      <w:r w:rsidRPr="00813AD1">
        <w:rPr>
          <w:rFonts w:eastAsia="Arial" w:cs="Arial"/>
        </w:rPr>
        <w:t>The project’s inclusion in a municipal or regional nonmotorized transportation system plan.</w:t>
      </w:r>
    </w:p>
    <w:p w14:paraId="63485CC5" w14:textId="26A87A5E" w:rsidR="5F1786D8" w:rsidRPr="00813AD1" w:rsidRDefault="5F1786D8" w:rsidP="005D7D64">
      <w:pPr>
        <w:pStyle w:val="ListParagraph"/>
        <w:numPr>
          <w:ilvl w:val="0"/>
          <w:numId w:val="9"/>
        </w:numPr>
        <w:spacing w:after="0"/>
        <w:rPr>
          <w:rFonts w:eastAsia="Arial" w:cs="Arial"/>
        </w:rPr>
      </w:pPr>
      <w:r w:rsidRPr="00813AD1">
        <w:rPr>
          <w:rFonts w:eastAsia="Arial" w:cs="Arial"/>
        </w:rPr>
        <w:t>The extent to which policies or practices of the political subdivision encourage and promote complete streets planning, design and construction</w:t>
      </w:r>
      <w:r w:rsidR="00736797" w:rsidRPr="00813AD1">
        <w:rPr>
          <w:rFonts w:eastAsia="Arial" w:cs="Arial"/>
        </w:rPr>
        <w:t>.</w:t>
      </w:r>
    </w:p>
    <w:p w14:paraId="2B5CC540" w14:textId="311DCEA4" w:rsidR="5F1786D8" w:rsidRPr="00813AD1" w:rsidRDefault="5F1786D8" w:rsidP="005D7D64">
      <w:pPr>
        <w:pStyle w:val="ListParagraph"/>
        <w:numPr>
          <w:ilvl w:val="0"/>
          <w:numId w:val="9"/>
        </w:numPr>
        <w:spacing w:after="0"/>
        <w:rPr>
          <w:rFonts w:eastAsia="Arial" w:cs="Arial"/>
        </w:rPr>
      </w:pPr>
      <w:r w:rsidRPr="00813AD1">
        <w:rPr>
          <w:rFonts w:eastAsia="Arial" w:cs="Arial"/>
        </w:rPr>
        <w:t xml:space="preserve">The extent to which the project supports connections between communities </w:t>
      </w:r>
      <w:proofErr w:type="gramStart"/>
      <w:r w:rsidRPr="00813AD1">
        <w:rPr>
          <w:rFonts w:eastAsia="Arial" w:cs="Arial"/>
        </w:rPr>
        <w:t>and to</w:t>
      </w:r>
      <w:proofErr w:type="gramEnd"/>
      <w:r w:rsidRPr="00813AD1">
        <w:rPr>
          <w:rFonts w:eastAsia="Arial" w:cs="Arial"/>
        </w:rPr>
        <w:t xml:space="preserve"> key destinations within a community</w:t>
      </w:r>
      <w:r w:rsidR="00736797" w:rsidRPr="00813AD1">
        <w:rPr>
          <w:rFonts w:eastAsia="Arial" w:cs="Arial"/>
        </w:rPr>
        <w:t>.</w:t>
      </w:r>
    </w:p>
    <w:p w14:paraId="6E9E7840" w14:textId="4DCF1EA0" w:rsidR="5F1786D8" w:rsidRPr="00813AD1" w:rsidRDefault="5F1786D8" w:rsidP="005D7D64">
      <w:pPr>
        <w:pStyle w:val="ListParagraph"/>
        <w:numPr>
          <w:ilvl w:val="0"/>
          <w:numId w:val="9"/>
        </w:numPr>
        <w:spacing w:after="0"/>
        <w:rPr>
          <w:rFonts w:eastAsia="Arial" w:cs="Arial"/>
        </w:rPr>
      </w:pPr>
      <w:r w:rsidRPr="00813AD1">
        <w:rPr>
          <w:rFonts w:eastAsia="Arial" w:cs="Arial"/>
        </w:rPr>
        <w:t>Identified barriers or deficiencies in the nonmotorized transportation system</w:t>
      </w:r>
      <w:r w:rsidR="00736797" w:rsidRPr="00813AD1">
        <w:rPr>
          <w:rFonts w:eastAsia="Arial" w:cs="Arial"/>
        </w:rPr>
        <w:t>.</w:t>
      </w:r>
    </w:p>
    <w:p w14:paraId="574311DB" w14:textId="6D1A9955" w:rsidR="5F1786D8" w:rsidRPr="00813AD1" w:rsidRDefault="5F1786D8" w:rsidP="005D7D64">
      <w:pPr>
        <w:pStyle w:val="ListParagraph"/>
        <w:numPr>
          <w:ilvl w:val="0"/>
          <w:numId w:val="9"/>
        </w:numPr>
        <w:spacing w:after="0"/>
        <w:rPr>
          <w:rFonts w:eastAsia="Arial" w:cs="Arial"/>
        </w:rPr>
      </w:pPr>
      <w:r w:rsidRPr="00813AD1">
        <w:rPr>
          <w:rFonts w:eastAsia="Arial" w:cs="Arial"/>
        </w:rPr>
        <w:t>Identified safety or health benefits</w:t>
      </w:r>
      <w:r w:rsidR="00736797" w:rsidRPr="00813AD1">
        <w:rPr>
          <w:rFonts w:eastAsia="Arial" w:cs="Arial"/>
        </w:rPr>
        <w:t>.</w:t>
      </w:r>
    </w:p>
    <w:p w14:paraId="7DD619A0" w14:textId="2D84E4AB" w:rsidR="5F1786D8" w:rsidRPr="00813AD1" w:rsidRDefault="5F1786D8" w:rsidP="005D7D64">
      <w:pPr>
        <w:pStyle w:val="ListParagraph"/>
        <w:numPr>
          <w:ilvl w:val="0"/>
          <w:numId w:val="9"/>
        </w:numPr>
        <w:spacing w:after="0"/>
        <w:rPr>
          <w:rFonts w:eastAsia="Arial" w:cs="Arial"/>
        </w:rPr>
      </w:pPr>
      <w:r w:rsidRPr="00813AD1">
        <w:rPr>
          <w:rFonts w:eastAsia="Arial" w:cs="Arial"/>
        </w:rPr>
        <w:t>Geographic equity in project benefits, with an emphasis on communities that are historically and currently underrepresented in local or regional planning</w:t>
      </w:r>
      <w:r w:rsidR="00736797" w:rsidRPr="00813AD1">
        <w:rPr>
          <w:rFonts w:eastAsia="Arial" w:cs="Arial"/>
        </w:rPr>
        <w:t>.</w:t>
      </w:r>
    </w:p>
    <w:p w14:paraId="04B63FF9" w14:textId="267B7B21" w:rsidR="55AABE99" w:rsidRPr="00813AD1" w:rsidRDefault="5F1786D8" w:rsidP="005D7D64">
      <w:pPr>
        <w:pStyle w:val="ListParagraph"/>
        <w:numPr>
          <w:ilvl w:val="0"/>
          <w:numId w:val="9"/>
        </w:numPr>
        <w:rPr>
          <w:rFonts w:eastAsia="Arial" w:cs="Arial"/>
        </w:rPr>
      </w:pPr>
      <w:r w:rsidRPr="00813AD1">
        <w:rPr>
          <w:rFonts w:eastAsia="Arial" w:cs="Arial"/>
        </w:rPr>
        <w:t>The ability of a grantee to maintain the active transportation infrastructure following project completion</w:t>
      </w:r>
      <w:r w:rsidR="004D274C" w:rsidRPr="00813AD1">
        <w:rPr>
          <w:rFonts w:eastAsia="Arial" w:cs="Arial"/>
        </w:rPr>
        <w:t>.</w:t>
      </w:r>
    </w:p>
    <w:p w14:paraId="7BDB7D0F" w14:textId="3730C856" w:rsidR="00CF13CC" w:rsidRDefault="00126052" w:rsidP="00173BC6">
      <w:pPr>
        <w:pStyle w:val="Heading1"/>
        <w:rPr>
          <w:rFonts w:eastAsia="Times New Roman" w:cs="Times New Roman"/>
          <w:b w:val="0"/>
          <w:color w:val="505150"/>
          <w:sz w:val="22"/>
          <w:szCs w:val="22"/>
        </w:rPr>
      </w:pPr>
      <w:r>
        <w:lastRenderedPageBreak/>
        <w:t xml:space="preserve">Changes </w:t>
      </w:r>
      <w:r w:rsidR="00CF13CC">
        <w:t xml:space="preserve">for the </w:t>
      </w:r>
      <w:r w:rsidR="00041691">
        <w:t xml:space="preserve">2026 </w:t>
      </w:r>
      <w:r w:rsidR="00CF13CC">
        <w:t>Funding Cycle</w:t>
      </w:r>
    </w:p>
    <w:p w14:paraId="4D1B6963" w14:textId="29842F08" w:rsidR="00FE7E57" w:rsidRPr="00041691" w:rsidRDefault="2F48D0BE" w:rsidP="00383038">
      <w:r w:rsidRPr="00C87D42">
        <w:rPr>
          <w:rFonts w:cs="Arial"/>
        </w:rPr>
        <w:t xml:space="preserve">The Regional Solicitation process was redesigned following the 2024 funding cycle as part of a two-year effort called the </w:t>
      </w:r>
      <w:hyperlink r:id="rId15" w:history="1">
        <w:r w:rsidRPr="00804A03">
          <w:rPr>
            <w:rStyle w:val="Hyperlink"/>
            <w:rFonts w:cs="Arial"/>
          </w:rPr>
          <w:t>Regional Solicitation Evaluation</w:t>
        </w:r>
      </w:hyperlink>
      <w:r w:rsidRPr="00C87D42">
        <w:rPr>
          <w:rFonts w:cs="Arial"/>
        </w:rPr>
        <w:t xml:space="preserve">. The evaluation examined every aspect of the </w:t>
      </w:r>
      <w:r>
        <w:t>Solicitation</w:t>
      </w:r>
      <w:r w:rsidR="00EF4DAA">
        <w:t xml:space="preserve"> process</w:t>
      </w:r>
      <w:r>
        <w:t xml:space="preserve"> to closely align funding decisions to the policy direction in </w:t>
      </w:r>
      <w:hyperlink r:id="rId16" w:history="1">
        <w:r w:rsidRPr="00707F06">
          <w:rPr>
            <w:rStyle w:val="Hyperlink"/>
          </w:rPr>
          <w:t>Imagine 2050</w:t>
        </w:r>
      </w:hyperlink>
      <w:r>
        <w:t xml:space="preserve"> and the </w:t>
      </w:r>
      <w:hyperlink r:id="rId17" w:history="1">
        <w:r w:rsidRPr="0036265B">
          <w:rPr>
            <w:rStyle w:val="Hyperlink"/>
          </w:rPr>
          <w:t>2050 Transportation Policy Plan (TPP)</w:t>
        </w:r>
      </w:hyperlink>
      <w:r>
        <w:t xml:space="preserve">.  The evaluation included 25 listening sessions across the region, public outreach and surveys, policy and technical work groups, including over 100 technical stakeholders as part of seven special issue working groups. For the 2026 cycle, this process resulted in new </w:t>
      </w:r>
      <w:r w:rsidR="00282A80">
        <w:t>investment areas</w:t>
      </w:r>
      <w:r>
        <w:t>, as well as in the integration of</w:t>
      </w:r>
      <w:r w:rsidR="005765F1">
        <w:t xml:space="preserve"> application</w:t>
      </w:r>
      <w:r>
        <w:t xml:space="preserve"> categories to award </w:t>
      </w:r>
      <w:r w:rsidR="00707F06">
        <w:t>r</w:t>
      </w:r>
      <w:r>
        <w:t xml:space="preserve">egional </w:t>
      </w:r>
      <w:r w:rsidR="00707F06">
        <w:t>a</w:t>
      </w:r>
      <w:r>
        <w:t xml:space="preserve">ctive </w:t>
      </w:r>
      <w:r w:rsidR="00707F06">
        <w:t>t</w:t>
      </w:r>
      <w:r>
        <w:t xml:space="preserve">ransportation </w:t>
      </w:r>
      <w:r w:rsidR="00707F06">
        <w:t>s</w:t>
      </w:r>
      <w:r>
        <w:t xml:space="preserve">ales </w:t>
      </w:r>
      <w:r w:rsidR="00707F06">
        <w:t>t</w:t>
      </w:r>
      <w:r>
        <w:t xml:space="preserve">ax funding to eligible projects. </w:t>
      </w:r>
    </w:p>
    <w:p w14:paraId="741BFA3B" w14:textId="4E150DA1" w:rsidR="004C1E8F" w:rsidRDefault="004C1E8F" w:rsidP="00E76FEE">
      <w:pPr>
        <w:pStyle w:val="Heading1"/>
      </w:pPr>
      <w:r>
        <w:t>Regional Solicitation Structure</w:t>
      </w:r>
    </w:p>
    <w:p w14:paraId="5E0017C1" w14:textId="2AC3556E" w:rsidR="005C3BF0" w:rsidRPr="0006457C" w:rsidRDefault="005C3BF0" w:rsidP="00C24D2A">
      <w:r w:rsidRPr="0006457C">
        <w:t>The Regional Solicitation</w:t>
      </w:r>
      <w:r w:rsidR="00282A80" w:rsidRPr="0006457C">
        <w:t xml:space="preserve"> investment areas are</w:t>
      </w:r>
      <w:r w:rsidRPr="0006457C">
        <w:t xml:space="preserve"> structured around </w:t>
      </w:r>
      <w:r w:rsidR="00381171" w:rsidRPr="0006457C">
        <w:t>Imagine 2050 goals</w:t>
      </w:r>
      <w:r w:rsidR="00282A80" w:rsidRPr="0006457C">
        <w:t>. Application categories</w:t>
      </w:r>
      <w:r w:rsidR="00381171" w:rsidRPr="0006457C">
        <w:t xml:space="preserve"> and</w:t>
      </w:r>
      <w:r w:rsidRPr="0006457C">
        <w:t xml:space="preserve"> other project selection processes</w:t>
      </w:r>
      <w:r w:rsidR="00381171" w:rsidRPr="0006457C">
        <w:t xml:space="preserve"> are connected to regional policy in the 2050 Transportation Policy Plan. This structure creates a basis for establishing funding availability by </w:t>
      </w:r>
      <w:r w:rsidR="00282A80" w:rsidRPr="0006457C">
        <w:t xml:space="preserve">investment areas </w:t>
      </w:r>
      <w:r w:rsidR="00381171" w:rsidRPr="0006457C">
        <w:t xml:space="preserve">and </w:t>
      </w:r>
      <w:r w:rsidR="00282A80" w:rsidRPr="0006457C">
        <w:t>application</w:t>
      </w:r>
      <w:r w:rsidR="00381171" w:rsidRPr="0006457C">
        <w:t xml:space="preserve"> categories, funding targets, and minimum and maximum project awards by category.</w:t>
      </w:r>
    </w:p>
    <w:p w14:paraId="490C6990" w14:textId="4FEDDB61" w:rsidR="003469C2" w:rsidRDefault="009B244E" w:rsidP="009A0C6D">
      <w:pPr>
        <w:pStyle w:val="Heading2"/>
      </w:pPr>
      <w:r>
        <w:t>Investment Areas</w:t>
      </w:r>
    </w:p>
    <w:p w14:paraId="7C3A915A" w14:textId="0B3D612A" w:rsidR="003469C2" w:rsidRPr="0006457C" w:rsidRDefault="003469C2" w:rsidP="003469C2">
      <w:r w:rsidRPr="0006457C">
        <w:t xml:space="preserve">As depicted in Figure 1, the </w:t>
      </w:r>
      <w:r w:rsidR="009B244E">
        <w:t>investment areas</w:t>
      </w:r>
      <w:r w:rsidRPr="0006457C">
        <w:t xml:space="preserve"> are grouped into three of the five regional goals outlined in Imagine 2050: </w:t>
      </w:r>
    </w:p>
    <w:p w14:paraId="6DE713F1" w14:textId="77777777" w:rsidR="003469C2" w:rsidRPr="0006457C" w:rsidRDefault="003469C2" w:rsidP="003469C2">
      <w:pPr>
        <w:pStyle w:val="ListNumbered"/>
      </w:pPr>
      <w:r w:rsidRPr="0006457C">
        <w:t>Our communities are healthy and safe</w:t>
      </w:r>
    </w:p>
    <w:p w14:paraId="54F4F445" w14:textId="77777777" w:rsidR="003469C2" w:rsidRPr="0006457C" w:rsidRDefault="003469C2" w:rsidP="003469C2">
      <w:pPr>
        <w:pStyle w:val="ListNumbered"/>
      </w:pPr>
      <w:r w:rsidRPr="0006457C">
        <w:t>Our region is dynamic and resilient</w:t>
      </w:r>
    </w:p>
    <w:p w14:paraId="544BCE50" w14:textId="77777777" w:rsidR="003469C2" w:rsidRPr="0006457C" w:rsidRDefault="003469C2" w:rsidP="003469C2">
      <w:pPr>
        <w:pStyle w:val="ListNumbered"/>
        <w:spacing w:after="120"/>
      </w:pPr>
      <w:r w:rsidRPr="0006457C">
        <w:t>We lead on addressing climate change</w:t>
      </w:r>
    </w:p>
    <w:p w14:paraId="7FCA2652" w14:textId="50276957" w:rsidR="00FA38C8" w:rsidRPr="0006457C" w:rsidRDefault="2F48D0BE" w:rsidP="003A2B7A">
      <w:r w:rsidRPr="00C24D2A">
        <w:t xml:space="preserve">Each of </w:t>
      </w:r>
      <w:r w:rsidR="00322E79" w:rsidRPr="00C24D2A">
        <w:t xml:space="preserve">these </w:t>
      </w:r>
      <w:r w:rsidR="009910D0" w:rsidRPr="00C24D2A">
        <w:t>investment areas</w:t>
      </w:r>
      <w:r w:rsidRPr="00C24D2A">
        <w:t xml:space="preserve"> include separate </w:t>
      </w:r>
      <w:r w:rsidR="00322E79" w:rsidRPr="00C24D2A">
        <w:t>application</w:t>
      </w:r>
      <w:r w:rsidRPr="00C24D2A">
        <w:t xml:space="preserve"> categories as shown in Figure 1. Applicants for the Regional Solicitation will select the appropriate </w:t>
      </w:r>
      <w:r w:rsidR="001C0EBD" w:rsidRPr="00C24D2A">
        <w:t>application category</w:t>
      </w:r>
      <w:r w:rsidRPr="00C24D2A">
        <w:t xml:space="preserve"> for their proposed projects based on the guidance for each </w:t>
      </w:r>
      <w:r w:rsidR="001C0EBD" w:rsidRPr="00C24D2A">
        <w:t>application category</w:t>
      </w:r>
      <w:r w:rsidRPr="00C24D2A">
        <w:t xml:space="preserve">. For instance, a roadway reconstruction project that includes a new sidewalk would apply under the Roadway Modernization </w:t>
      </w:r>
      <w:r w:rsidR="00322E79" w:rsidRPr="00C24D2A">
        <w:t>application category</w:t>
      </w:r>
      <w:r w:rsidRPr="00C24D2A">
        <w:t xml:space="preserve"> because that category is intended to fund roadway projects that include multimodal elements. While sidewalks are eligible under the Local Pedestrian Facilities category, that category is not intended to fund general improvements to the roadway. If the project sponsor wants to only submit the sidewalk portion of the project, then Local Pedestrian Facilities would be the appropriate </w:t>
      </w:r>
      <w:r w:rsidR="00322E79" w:rsidRPr="00C24D2A">
        <w:t>application category</w:t>
      </w:r>
      <w:r w:rsidRPr="00C24D2A">
        <w:t xml:space="preserve">. The same project elements can only be submitted and scored in one </w:t>
      </w:r>
      <w:r w:rsidR="00322E79" w:rsidRPr="00C24D2A">
        <w:t>application category</w:t>
      </w:r>
      <w:r w:rsidRPr="00C24D2A">
        <w:t xml:space="preserve">. If an applicant submits a project in the incorrect </w:t>
      </w:r>
      <w:r w:rsidR="00322E79" w:rsidRPr="00C24D2A">
        <w:t>application category</w:t>
      </w:r>
      <w:r w:rsidRPr="00C24D2A">
        <w:t xml:space="preserve">, the application may be disqualified. </w:t>
      </w:r>
      <w:r w:rsidRPr="0006457C">
        <w:t xml:space="preserve">It is advised that applicants contact </w:t>
      </w:r>
      <w:hyperlink r:id="rId18" w:history="1">
        <w:r w:rsidR="003A2B7A" w:rsidRPr="0060210F">
          <w:rPr>
            <w:rStyle w:val="Hyperlink"/>
          </w:rPr>
          <w:t>RegionalSolicitationSupport@metc.state.mn.us</w:t>
        </w:r>
      </w:hyperlink>
      <w:r w:rsidR="003A2B7A">
        <w:t xml:space="preserve"> </w:t>
      </w:r>
      <w:r w:rsidRPr="0006457C">
        <w:t xml:space="preserve">prior to submission if there are any questions about which </w:t>
      </w:r>
      <w:r w:rsidR="00322E79">
        <w:t>application category</w:t>
      </w:r>
      <w:r w:rsidRPr="0006457C">
        <w:t xml:space="preserve"> is the most appropriate for their project.</w:t>
      </w:r>
    </w:p>
    <w:p w14:paraId="5904DAC5" w14:textId="77777777" w:rsidR="00872C5E" w:rsidRDefault="00872C5E">
      <w:pPr>
        <w:spacing w:after="0"/>
        <w:rPr>
          <w:b/>
          <w:bCs/>
          <w:szCs w:val="24"/>
        </w:rPr>
      </w:pPr>
      <w:r>
        <w:br w:type="page"/>
      </w:r>
    </w:p>
    <w:p w14:paraId="1D081E79" w14:textId="781CCB03" w:rsidR="00233D6B" w:rsidRPr="007408F4" w:rsidRDefault="003469C2" w:rsidP="007408F4">
      <w:pPr>
        <w:pStyle w:val="Caption"/>
      </w:pPr>
      <w:r w:rsidRPr="007408F4">
        <w:lastRenderedPageBreak/>
        <w:t xml:space="preserve">Figure 1: </w:t>
      </w:r>
      <w:r w:rsidR="002E6018" w:rsidRPr="007408F4">
        <w:t>Investment Areas and Application Categories</w:t>
      </w:r>
    </w:p>
    <w:p w14:paraId="472C01EA" w14:textId="78AB8C8F" w:rsidR="00EA08A2" w:rsidRPr="00233D6B" w:rsidRDefault="00EA08A2" w:rsidP="00233D6B">
      <w:r w:rsidRPr="00EA08A2">
        <w:rPr>
          <w:noProof/>
        </w:rPr>
        <w:drawing>
          <wp:inline distT="0" distB="0" distL="0" distR="0" wp14:anchorId="683C4E32" wp14:editId="47B40FE6">
            <wp:extent cx="6400800" cy="2986405"/>
            <wp:effectExtent l="0" t="0" r="0" b="4445"/>
            <wp:docPr id="1065794582" name="Picture 1" descr="A diagram explaining investment areas and application categories. Three primary areas include Dynamic and Resilient, Safety, Environment. Within the Dynamic and Resilient category, there are three modal sub-categories; bicycle/pedestrian, transit, and roadway. Each have applicatio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94582" name="Picture 1" descr="A diagram explaining investment areas and application categories. Three primary areas include Dynamic and Resilient, Safety, Environment. Within the Dynamic and Resilient category, there are three modal sub-categories; bicycle/pedestrian, transit, and roadway. Each have application categories."/>
                    <pic:cNvPicPr/>
                  </pic:nvPicPr>
                  <pic:blipFill>
                    <a:blip r:embed="rId19"/>
                    <a:stretch>
                      <a:fillRect/>
                    </a:stretch>
                  </pic:blipFill>
                  <pic:spPr>
                    <a:xfrm>
                      <a:off x="0" y="0"/>
                      <a:ext cx="6400800" cy="2986405"/>
                    </a:xfrm>
                    <a:prstGeom prst="rect">
                      <a:avLst/>
                    </a:prstGeom>
                  </pic:spPr>
                </pic:pic>
              </a:graphicData>
            </a:graphic>
          </wp:inline>
        </w:drawing>
      </w:r>
    </w:p>
    <w:p w14:paraId="44532FD5" w14:textId="25316C7F" w:rsidR="00D8517B" w:rsidRDefault="00D8517B" w:rsidP="009A0C6D">
      <w:pPr>
        <w:pStyle w:val="Heading2"/>
      </w:pPr>
      <w:r>
        <w:t>Connection to the Regional Policy</w:t>
      </w:r>
    </w:p>
    <w:p w14:paraId="720258C5" w14:textId="60A8A2C5" w:rsidR="00E76FEE" w:rsidRPr="002F720E" w:rsidRDefault="2F48D0BE" w:rsidP="002F720E">
      <w:r w:rsidRPr="002F720E">
        <w:t xml:space="preserve">One of the main updates to the 2026 Regional Solicitation process is the development of new </w:t>
      </w:r>
      <w:r w:rsidR="005C2160">
        <w:t>application</w:t>
      </w:r>
      <w:r w:rsidRPr="002F720E">
        <w:t xml:space="preserve"> categories and evaluation criteria to align with the 2050 T</w:t>
      </w:r>
      <w:r w:rsidR="00F75CDD" w:rsidRPr="002F720E">
        <w:t>ransportation Policy Plan (TPP)</w:t>
      </w:r>
      <w:r w:rsidRPr="002F720E">
        <w:t>. The TPP is the region’s long-range transportation plan, which was developed to meet federal requirements, reflect regional goals, and implement the transportation objectives and policies established in Imagine 2050, the regional development guide. It is useful to understand the intent behind both Imagine 2050 and the 2050 TPP to ensure that all projects funded through the Regional Solicitation meet these regional goals. These funds are intended to implement the region’s transportation plan.</w:t>
      </w:r>
    </w:p>
    <w:p w14:paraId="7ABABEF3" w14:textId="71953438" w:rsidR="00C1463C" w:rsidRPr="002F720E" w:rsidRDefault="2F48D0BE" w:rsidP="002F720E">
      <w:r w:rsidRPr="002F720E">
        <w:t xml:space="preserve">Table 1 illustrates the primary goals, objectives, and policies that link each Regional Solicitation </w:t>
      </w:r>
      <w:r w:rsidR="00322E79" w:rsidRPr="002F720E">
        <w:t>application category</w:t>
      </w:r>
      <w:r w:rsidRPr="002F720E">
        <w:t xml:space="preserve"> to regional policy. Each category may address additional goals, objectives</w:t>
      </w:r>
      <w:r w:rsidR="00CC0D0F" w:rsidRPr="002F720E">
        <w:t>,</w:t>
      </w:r>
      <w:r w:rsidRPr="002F720E">
        <w:t xml:space="preserve"> and policies through the inclusion of additional evaluation criteria. There were two goal areas out of the five in Imagine 2050 that area not reflected as </w:t>
      </w:r>
      <w:r w:rsidR="00C24D2A" w:rsidRPr="002F720E">
        <w:t>investment areas</w:t>
      </w:r>
      <w:r w:rsidRPr="002F720E">
        <w:t xml:space="preserve"> in Table 1. The goal of “Our region is equitable and inclusive” is not reflected as a</w:t>
      </w:r>
      <w:r w:rsidR="00BA0822">
        <w:t>n investment area</w:t>
      </w:r>
      <w:r w:rsidRPr="002F720E">
        <w:t xml:space="preserve"> </w:t>
      </w:r>
      <w:r w:rsidR="00D53CB0">
        <w:t xml:space="preserve">or application </w:t>
      </w:r>
      <w:r w:rsidR="00CE7933">
        <w:t>category but</w:t>
      </w:r>
      <w:r w:rsidRPr="002F720E">
        <w:t xml:space="preserve"> instead is incorporated as </w:t>
      </w:r>
      <w:r w:rsidR="00D53CB0">
        <w:t xml:space="preserve">a </w:t>
      </w:r>
      <w:r w:rsidRPr="002F720E">
        <w:t>scoring criteri</w:t>
      </w:r>
      <w:r w:rsidR="00D53CB0">
        <w:t>on</w:t>
      </w:r>
      <w:r w:rsidRPr="002F720E">
        <w:t xml:space="preserve"> for every </w:t>
      </w:r>
      <w:r w:rsidR="00322E79" w:rsidRPr="002F720E">
        <w:t>application category</w:t>
      </w:r>
      <w:r w:rsidRPr="002F720E">
        <w:t>. The goal “We protect and restore natural systems” is also reflected as a scoring criterion (only in the Roadway Modernization, Congestion Management Strategies, New Interchanges, and Bridge Connections applications) and is not a</w:t>
      </w:r>
      <w:r w:rsidR="00C24D2A" w:rsidRPr="002F720E">
        <w:t>n</w:t>
      </w:r>
      <w:r w:rsidRPr="002F720E">
        <w:t xml:space="preserve"> </w:t>
      </w:r>
      <w:r w:rsidR="00D53CB0">
        <w:t xml:space="preserve">investment area or </w:t>
      </w:r>
      <w:r w:rsidR="00322E79" w:rsidRPr="002F720E">
        <w:t>application category</w:t>
      </w:r>
      <w:r w:rsidRPr="002F720E">
        <w:t xml:space="preserve">. These approaches may be revisited in the 2028 funding cycle pending any federal eligibility and program changes with a new </w:t>
      </w:r>
      <w:r w:rsidR="00C42AF3" w:rsidRPr="002F720E">
        <w:t xml:space="preserve">federal </w:t>
      </w:r>
      <w:r w:rsidRPr="002F720E">
        <w:t xml:space="preserve">surface transportation bill. </w:t>
      </w:r>
    </w:p>
    <w:p w14:paraId="693C7366" w14:textId="0089BD19" w:rsidR="00C1463C" w:rsidRPr="002F720E" w:rsidRDefault="00C1463C" w:rsidP="002F720E">
      <w:r w:rsidRPr="002F720E">
        <w:t xml:space="preserve">Projects funded through the Regional Solicitation do not need to be specifically named in the TPP because they must prove consistency with regional goals and policies </w:t>
      </w:r>
      <w:r w:rsidR="00D574D0" w:rsidRPr="002F720E">
        <w:t>when they</w:t>
      </w:r>
      <w:r w:rsidRPr="002F720E">
        <w:t xml:space="preserve"> pass the qualifying review step of the Regional Solicitation process. </w:t>
      </w:r>
      <w:r w:rsidR="0060427D" w:rsidRPr="002F720E">
        <w:t xml:space="preserve">In addition, the scoring measures directly connect to the 2050 TPP so </w:t>
      </w:r>
      <w:r w:rsidR="00417DB1" w:rsidRPr="002F720E">
        <w:t xml:space="preserve">projects are more likely to be funded </w:t>
      </w:r>
      <w:r w:rsidR="005654EE" w:rsidRPr="002F720E">
        <w:t>if they advance the 2050 TPP. Regionally significant p</w:t>
      </w:r>
      <w:r w:rsidRPr="002F720E">
        <w:t xml:space="preserve">rojects </w:t>
      </w:r>
      <w:r w:rsidR="00AA3106" w:rsidRPr="002F720E">
        <w:t xml:space="preserve">(e.g., </w:t>
      </w:r>
      <w:r w:rsidR="00805C12" w:rsidRPr="002F720E">
        <w:t>arterial bus rapid transit</w:t>
      </w:r>
      <w:r w:rsidR="00AA3106" w:rsidRPr="002F720E">
        <w:t xml:space="preserve"> or new interchanges) </w:t>
      </w:r>
      <w:r w:rsidR="005654EE" w:rsidRPr="002F720E">
        <w:t xml:space="preserve">may be </w:t>
      </w:r>
      <w:r w:rsidRPr="002F720E">
        <w:t>amended into the TPP after selection</w:t>
      </w:r>
      <w:r w:rsidR="00BA15D3" w:rsidRPr="002F720E">
        <w:t xml:space="preserve"> if they are not already listed in the document</w:t>
      </w:r>
      <w:r w:rsidRPr="002F720E">
        <w:t>.</w:t>
      </w:r>
    </w:p>
    <w:p w14:paraId="014C652C" w14:textId="77777777" w:rsidR="006C69FF" w:rsidRDefault="006C69FF">
      <w:pPr>
        <w:spacing w:after="0"/>
        <w:rPr>
          <w:b/>
          <w:bCs/>
          <w:sz w:val="16"/>
          <w:szCs w:val="24"/>
        </w:rPr>
      </w:pPr>
      <w:r>
        <w:br w:type="page"/>
      </w:r>
    </w:p>
    <w:p w14:paraId="7C1D61A6" w14:textId="0661FD64" w:rsidR="00D8517B" w:rsidRPr="007408F4" w:rsidRDefault="023A9675" w:rsidP="007408F4">
      <w:pPr>
        <w:pStyle w:val="Caption"/>
      </w:pPr>
      <w:r w:rsidRPr="007408F4">
        <w:lastRenderedPageBreak/>
        <w:t>Table 1: Regional Solicitation Connection to Regional Policy</w:t>
      </w:r>
    </w:p>
    <w:tbl>
      <w:tblPr>
        <w:tblStyle w:val="GridTable4-Accent1"/>
        <w:tblW w:w="0" w:type="auto"/>
        <w:tblLook w:val="06A0" w:firstRow="1" w:lastRow="0" w:firstColumn="1" w:lastColumn="0" w:noHBand="1" w:noVBand="1"/>
      </w:tblPr>
      <w:tblGrid>
        <w:gridCol w:w="2605"/>
        <w:gridCol w:w="2340"/>
        <w:gridCol w:w="5125"/>
      </w:tblGrid>
      <w:tr w:rsidR="006B3876" w14:paraId="44E660EB" w14:textId="77777777" w:rsidTr="00B23CFB">
        <w:trPr>
          <w:cnfStyle w:val="100000000000" w:firstRow="1" w:lastRow="0" w:firstColumn="0" w:lastColumn="0" w:oddVBand="0" w:evenVBand="0" w:oddHBand="0" w:evenHBand="0" w:firstRowFirstColumn="0" w:firstRowLastColumn="0" w:lastRowFirstColumn="0" w:lastRowLastColumn="0"/>
          <w:cantSplit/>
          <w:trHeight w:val="593"/>
          <w:tblHeader/>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518C94A5" w14:textId="53F805DD" w:rsidR="00D8517B" w:rsidRPr="00383038" w:rsidRDefault="007B508E" w:rsidP="00B23CFB">
            <w:pPr>
              <w:spacing w:after="0"/>
              <w:jc w:val="center"/>
              <w:rPr>
                <w:color w:val="FFFFFF" w:themeColor="background1"/>
              </w:rPr>
            </w:pPr>
            <w:r>
              <w:rPr>
                <w:color w:val="FFFFFF" w:themeColor="background1"/>
              </w:rPr>
              <w:t>Investment Areas</w:t>
            </w:r>
          </w:p>
        </w:tc>
        <w:tc>
          <w:tcPr>
            <w:tcW w:w="2340" w:type="dxa"/>
            <w:vAlign w:val="center"/>
          </w:tcPr>
          <w:p w14:paraId="192F53A9" w14:textId="461CD1C2" w:rsidR="00D8517B" w:rsidRPr="00383038" w:rsidRDefault="00FE7E57" w:rsidP="00B23CF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83038">
              <w:rPr>
                <w:color w:val="FFFFFF" w:themeColor="background1"/>
              </w:rPr>
              <w:t xml:space="preserve">Imagine 2050 </w:t>
            </w:r>
            <w:r w:rsidR="00267700" w:rsidRPr="00383038">
              <w:rPr>
                <w:color w:val="FFFFFF" w:themeColor="background1"/>
              </w:rPr>
              <w:t xml:space="preserve">Primary </w:t>
            </w:r>
            <w:r w:rsidRPr="00383038">
              <w:rPr>
                <w:color w:val="FFFFFF" w:themeColor="background1"/>
              </w:rPr>
              <w:t>Goal</w:t>
            </w:r>
          </w:p>
        </w:tc>
        <w:tc>
          <w:tcPr>
            <w:tcW w:w="5125" w:type="dxa"/>
            <w:vAlign w:val="center"/>
          </w:tcPr>
          <w:p w14:paraId="47A94C71" w14:textId="2A6D603B" w:rsidR="00D8517B" w:rsidRPr="00383038" w:rsidRDefault="00267700" w:rsidP="00B23CF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83038">
              <w:rPr>
                <w:color w:val="FFFFFF" w:themeColor="background1"/>
              </w:rPr>
              <w:t xml:space="preserve">Primary </w:t>
            </w:r>
            <w:r w:rsidR="00D8517B" w:rsidRPr="00383038">
              <w:rPr>
                <w:color w:val="FFFFFF" w:themeColor="background1"/>
              </w:rPr>
              <w:t xml:space="preserve">TPP </w:t>
            </w:r>
            <w:r w:rsidR="00C83EC7">
              <w:rPr>
                <w:color w:val="FFFFFF" w:themeColor="background1"/>
              </w:rPr>
              <w:t xml:space="preserve">Objectives or </w:t>
            </w:r>
            <w:r w:rsidR="004267A8" w:rsidRPr="00383038">
              <w:rPr>
                <w:color w:val="FFFFFF" w:themeColor="background1"/>
              </w:rPr>
              <w:t>Policies</w:t>
            </w:r>
          </w:p>
        </w:tc>
      </w:tr>
      <w:tr w:rsidR="006B3876" w14:paraId="09065364" w14:textId="77777777" w:rsidTr="00B23CFB">
        <w:trPr>
          <w:trHeight w:val="1223"/>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13EA69E8" w14:textId="3E60E861" w:rsidR="005B3DAE" w:rsidRDefault="004267A8" w:rsidP="00B23CFB">
            <w:pPr>
              <w:rPr>
                <w:b w:val="0"/>
                <w:bCs w:val="0"/>
              </w:rPr>
            </w:pPr>
            <w:r>
              <w:t>Proactive Safety</w:t>
            </w:r>
            <w:r w:rsidR="006B3876">
              <w:t xml:space="preserve"> </w:t>
            </w:r>
          </w:p>
          <w:p w14:paraId="2237D25C" w14:textId="2EC85EFB" w:rsidR="004267A8" w:rsidRDefault="006B3876" w:rsidP="00B23CFB">
            <w:r>
              <w:t>Reactive Safety</w:t>
            </w:r>
          </w:p>
        </w:tc>
        <w:tc>
          <w:tcPr>
            <w:tcW w:w="2340" w:type="dxa"/>
            <w:vAlign w:val="center"/>
          </w:tcPr>
          <w:p w14:paraId="528DD1E9" w14:textId="0E467694" w:rsidR="004267A8" w:rsidRPr="004267A8" w:rsidRDefault="004267A8" w:rsidP="00B23CFB">
            <w:pPr>
              <w:cnfStyle w:val="000000000000" w:firstRow="0" w:lastRow="0" w:firstColumn="0" w:lastColumn="0" w:oddVBand="0" w:evenVBand="0" w:oddHBand="0" w:evenHBand="0" w:firstRowFirstColumn="0" w:firstRowLastColumn="0" w:lastRowFirstColumn="0" w:lastRowLastColumn="0"/>
            </w:pPr>
            <w:r w:rsidRPr="004267A8">
              <w:t xml:space="preserve">Our </w:t>
            </w:r>
            <w:r>
              <w:t>communities are healthy and safe</w:t>
            </w:r>
          </w:p>
        </w:tc>
        <w:tc>
          <w:tcPr>
            <w:tcW w:w="5125" w:type="dxa"/>
            <w:vAlign w:val="center"/>
          </w:tcPr>
          <w:p w14:paraId="70EE01FF" w14:textId="28A9CCA0" w:rsidR="008D6C8D" w:rsidRPr="008D6C8D" w:rsidRDefault="008D6C8D"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8D6C8D">
              <w:t xml:space="preserve">Work to eliminate fatalities and serious injuries from traffic crashes and incidents on the transportation system by 2050 using the </w:t>
            </w:r>
            <w:hyperlink r:id="rId20" w:tgtFrame="_blank" w:history="1">
              <w:r w:rsidRPr="00CD1927">
                <w:rPr>
                  <w:rStyle w:val="Hyperlink"/>
                  <w:rFonts w:eastAsia="MS PGothic"/>
                </w:rPr>
                <w:t>Safe System Approach</w:t>
              </w:r>
            </w:hyperlink>
            <w:r w:rsidRPr="008D6C8D">
              <w:t>. </w:t>
            </w:r>
          </w:p>
          <w:p w14:paraId="25BAC438" w14:textId="0035E108" w:rsidR="004267A8" w:rsidRDefault="008D6C8D"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8D6C8D">
              <w:t>Emphasize and prioritize the safety of people outside of vehicles in the transportation right-of-way. </w:t>
            </w:r>
          </w:p>
        </w:tc>
      </w:tr>
      <w:tr w:rsidR="006B3876" w14:paraId="18B9B2D5" w14:textId="77777777" w:rsidTr="00B23CFB">
        <w:trPr>
          <w:trHeight w:val="737"/>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EFCCD3A" w14:textId="77777777" w:rsidR="005B3DAE" w:rsidRDefault="004267A8" w:rsidP="00B23CFB">
            <w:pPr>
              <w:rPr>
                <w:b w:val="0"/>
                <w:bCs w:val="0"/>
              </w:rPr>
            </w:pPr>
            <w:r>
              <w:t>Regional Bicycle Facilities</w:t>
            </w:r>
          </w:p>
          <w:p w14:paraId="6366C264" w14:textId="77777777" w:rsidR="005B3DAE" w:rsidRDefault="006B3876" w:rsidP="00B23CFB">
            <w:pPr>
              <w:rPr>
                <w:b w:val="0"/>
                <w:bCs w:val="0"/>
              </w:rPr>
            </w:pPr>
            <w:r>
              <w:t>Local Bicycle Facilities,</w:t>
            </w:r>
          </w:p>
          <w:p w14:paraId="5F00AAB4" w14:textId="77777777" w:rsidR="005B3DAE" w:rsidRDefault="006B3876" w:rsidP="00B23CFB">
            <w:pPr>
              <w:rPr>
                <w:b w:val="0"/>
                <w:bCs w:val="0"/>
              </w:rPr>
            </w:pPr>
            <w:r>
              <w:t>Local Pedestrian Facilities</w:t>
            </w:r>
          </w:p>
          <w:p w14:paraId="6B01E3F2" w14:textId="45336042" w:rsidR="004267A8" w:rsidRDefault="006B3876" w:rsidP="00B23CFB">
            <w:r>
              <w:t>Active Transportation Planning</w:t>
            </w:r>
          </w:p>
        </w:tc>
        <w:tc>
          <w:tcPr>
            <w:tcW w:w="2340" w:type="dxa"/>
            <w:vAlign w:val="center"/>
          </w:tcPr>
          <w:p w14:paraId="6FDBF01D" w14:textId="6D05DE1A" w:rsidR="00700AFA" w:rsidRDefault="00700AFA" w:rsidP="00B23CFB">
            <w:pPr>
              <w:cnfStyle w:val="000000000000" w:firstRow="0" w:lastRow="0" w:firstColumn="0" w:lastColumn="0" w:oddVBand="0" w:evenVBand="0" w:oddHBand="0" w:evenHBand="0" w:firstRowFirstColumn="0" w:firstRowLastColumn="0" w:lastRowFirstColumn="0" w:lastRowLastColumn="0"/>
            </w:pPr>
            <w:r>
              <w:t>Our region is dynamic and resilient</w:t>
            </w:r>
          </w:p>
          <w:p w14:paraId="4292BA11" w14:textId="00BFE88A" w:rsidR="004267A8" w:rsidRDefault="004267A8" w:rsidP="00B23CFB">
            <w:pPr>
              <w:cnfStyle w:val="000000000000" w:firstRow="0" w:lastRow="0" w:firstColumn="0" w:lastColumn="0" w:oddVBand="0" w:evenVBand="0" w:oddHBand="0" w:evenHBand="0" w:firstRowFirstColumn="0" w:firstRowLastColumn="0" w:lastRowFirstColumn="0" w:lastRowLastColumn="0"/>
            </w:pPr>
            <w:r>
              <w:t>Our communities are healthy and safe</w:t>
            </w:r>
            <w:r>
              <w:br/>
            </w:r>
          </w:p>
        </w:tc>
        <w:tc>
          <w:tcPr>
            <w:tcW w:w="5125" w:type="dxa"/>
            <w:vAlign w:val="center"/>
          </w:tcPr>
          <w:p w14:paraId="5E47C9B7" w14:textId="77777777" w:rsidR="00641282" w:rsidRPr="00641282" w:rsidRDefault="00641282"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41282">
              <w:t xml:space="preserve">People have better travel options </w:t>
            </w:r>
            <w:proofErr w:type="gramStart"/>
            <w:r w:rsidRPr="00641282">
              <w:t>beyond</w:t>
            </w:r>
            <w:proofErr w:type="gramEnd"/>
            <w:r w:rsidRPr="00641282">
              <w:t xml:space="preserve"> driving alone to meet their daily needs, with a focus on improving travel times, reliability, directness, and affordability. </w:t>
            </w:r>
          </w:p>
          <w:p w14:paraId="03125690" w14:textId="77777777" w:rsidR="00641282" w:rsidRPr="00641282" w:rsidRDefault="00641282"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41282">
              <w:t>People do not die or face life-changing injuries when using any form of transportation. </w:t>
            </w:r>
          </w:p>
          <w:p w14:paraId="11F90175" w14:textId="39395EA3" w:rsidR="004267A8" w:rsidRDefault="00641282"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41282">
              <w:t>People can increase physical activity with more opportunities to walk, roll, or bike. </w:t>
            </w:r>
          </w:p>
        </w:tc>
      </w:tr>
      <w:tr w:rsidR="006B3876" w14:paraId="06B59C4D" w14:textId="77777777" w:rsidTr="00B23CFB">
        <w:trPr>
          <w:trHeight w:val="728"/>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62C8AE3" w14:textId="77777777" w:rsidR="005B3DAE" w:rsidRDefault="00700AFA" w:rsidP="00B23CFB">
            <w:pPr>
              <w:rPr>
                <w:b w:val="0"/>
                <w:bCs w:val="0"/>
              </w:rPr>
            </w:pPr>
            <w:r>
              <w:t>Transit Expansion</w:t>
            </w:r>
            <w:r w:rsidR="00BD6E6B">
              <w:t xml:space="preserve"> </w:t>
            </w:r>
          </w:p>
          <w:p w14:paraId="438027BD" w14:textId="0C6051BE" w:rsidR="00700AFA" w:rsidRDefault="00BD6E6B" w:rsidP="00B23CFB">
            <w:r>
              <w:t>Transit Customer Experience</w:t>
            </w:r>
          </w:p>
        </w:tc>
        <w:tc>
          <w:tcPr>
            <w:tcW w:w="2340" w:type="dxa"/>
            <w:vAlign w:val="center"/>
          </w:tcPr>
          <w:p w14:paraId="268158ED" w14:textId="3F507915" w:rsidR="00700AFA" w:rsidRDefault="00700AFA" w:rsidP="00B23CFB">
            <w:pPr>
              <w:cnfStyle w:val="000000000000" w:firstRow="0" w:lastRow="0" w:firstColumn="0" w:lastColumn="0" w:oddVBand="0" w:evenVBand="0" w:oddHBand="0" w:evenHBand="0" w:firstRowFirstColumn="0" w:firstRowLastColumn="0" w:lastRowFirstColumn="0" w:lastRowLastColumn="0"/>
            </w:pPr>
            <w:r>
              <w:t>Our region is dynamic and resilient</w:t>
            </w:r>
          </w:p>
        </w:tc>
        <w:tc>
          <w:tcPr>
            <w:tcW w:w="5125" w:type="dxa"/>
            <w:vAlign w:val="center"/>
          </w:tcPr>
          <w:p w14:paraId="7DC26139" w14:textId="77777777" w:rsidR="00C37C79" w:rsidRPr="00C37C79" w:rsidRDefault="00C37C79"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C37C79">
              <w:t xml:space="preserve">People have better travel options </w:t>
            </w:r>
            <w:proofErr w:type="gramStart"/>
            <w:r w:rsidRPr="00C37C79">
              <w:t>beyond</w:t>
            </w:r>
            <w:proofErr w:type="gramEnd"/>
            <w:r w:rsidRPr="00C37C79">
              <w:t xml:space="preserve"> driving alone to meet their daily needs, with a focus on improving travel times, reliability, directness, and affordability. </w:t>
            </w:r>
          </w:p>
          <w:p w14:paraId="4B3D38B7" w14:textId="0BE5B26A" w:rsidR="00700AFA" w:rsidRDefault="00C37C79"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C37C79">
              <w:t>People have more predictable travel times when traveling on highways, with a focus on reducing excessive delays. </w:t>
            </w:r>
          </w:p>
        </w:tc>
      </w:tr>
      <w:tr w:rsidR="00BD6E6B" w14:paraId="093D72EE" w14:textId="77777777" w:rsidTr="00B23CFB">
        <w:trPr>
          <w:trHeight w:val="2168"/>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3BEBD7C5" w14:textId="1266F050" w:rsidR="00BD6E6B" w:rsidRPr="00A75739" w:rsidDel="00FE7E57" w:rsidRDefault="00BD6E6B" w:rsidP="00B23CFB">
            <w:r>
              <w:t>Roadway Modernization</w:t>
            </w:r>
          </w:p>
        </w:tc>
        <w:tc>
          <w:tcPr>
            <w:tcW w:w="2340" w:type="dxa"/>
            <w:vAlign w:val="center"/>
          </w:tcPr>
          <w:p w14:paraId="1984EAF9" w14:textId="77777777" w:rsidR="00BD6E6B" w:rsidRDefault="00BD6E6B" w:rsidP="00B23CFB">
            <w:pPr>
              <w:cnfStyle w:val="000000000000" w:firstRow="0" w:lastRow="0" w:firstColumn="0" w:lastColumn="0" w:oddVBand="0" w:evenVBand="0" w:oddHBand="0" w:evenHBand="0" w:firstRowFirstColumn="0" w:firstRowLastColumn="0" w:lastRowFirstColumn="0" w:lastRowLastColumn="0"/>
            </w:pPr>
            <w:r>
              <w:t>Our region is dynamic and resilient</w:t>
            </w:r>
          </w:p>
          <w:p w14:paraId="61C16593" w14:textId="1E75BA02" w:rsidR="00BD6E6B" w:rsidRPr="00A75739" w:rsidDel="00FE7E57" w:rsidRDefault="00BD6E6B" w:rsidP="00B23CFB">
            <w:pPr>
              <w:cnfStyle w:val="000000000000" w:firstRow="0" w:lastRow="0" w:firstColumn="0" w:lastColumn="0" w:oddVBand="0" w:evenVBand="0" w:oddHBand="0" w:evenHBand="0" w:firstRowFirstColumn="0" w:firstRowLastColumn="0" w:lastRowFirstColumn="0" w:lastRowLastColumn="0"/>
            </w:pPr>
            <w:r w:rsidRPr="004267A8">
              <w:t xml:space="preserve">Our </w:t>
            </w:r>
            <w:r>
              <w:t>communities are healthy and safe</w:t>
            </w:r>
          </w:p>
        </w:tc>
        <w:tc>
          <w:tcPr>
            <w:tcW w:w="5125" w:type="dxa"/>
            <w:vAlign w:val="center"/>
          </w:tcPr>
          <w:p w14:paraId="5B926273" w14:textId="77777777" w:rsidR="00BD6E6B" w:rsidRPr="00FE209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FE2097">
              <w:t>People do not die or face life-changing injuries when using any form of transportation. </w:t>
            </w:r>
          </w:p>
          <w:p w14:paraId="19D7CFFD" w14:textId="77777777" w:rsidR="00BD6E6B" w:rsidRPr="00FE209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FE2097">
              <w:t xml:space="preserve">People have better travel options </w:t>
            </w:r>
            <w:proofErr w:type="gramStart"/>
            <w:r w:rsidRPr="00FE2097">
              <w:t>beyond</w:t>
            </w:r>
            <w:proofErr w:type="gramEnd"/>
            <w:r w:rsidRPr="00FE2097">
              <w:t xml:space="preserve"> driving alone to meet their daily needs, with a focus on improving travel times, reliability, directness, and affordability. </w:t>
            </w:r>
          </w:p>
          <w:p w14:paraId="0752DA35" w14:textId="77777777" w:rsidR="00BD6E6B" w:rsidRPr="00FE209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FE2097">
              <w:t>People and businesses can rely on predictable and cost-effective movement of freight and goods. </w:t>
            </w:r>
          </w:p>
          <w:p w14:paraId="53629D68" w14:textId="3034C6FB" w:rsidR="00BD6E6B" w:rsidRPr="00A75739" w:rsidDel="00FE7E5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FE2097">
              <w:t>The region’s transportation system protects, restores, and enhances natural systems (air, water, vegetation, and habitat quality). </w:t>
            </w:r>
          </w:p>
        </w:tc>
      </w:tr>
      <w:tr w:rsidR="00BD6E6B" w14:paraId="3AABD177" w14:textId="77777777" w:rsidTr="00B23CFB">
        <w:trPr>
          <w:cantSplit/>
          <w:trHeight w:val="845"/>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1D64166" w14:textId="77777777" w:rsidR="005B3DAE" w:rsidRDefault="00BD6E6B" w:rsidP="00B23CFB">
            <w:pPr>
              <w:rPr>
                <w:b w:val="0"/>
                <w:bCs w:val="0"/>
              </w:rPr>
            </w:pPr>
            <w:r>
              <w:lastRenderedPageBreak/>
              <w:t xml:space="preserve">Congestion Management Strategies </w:t>
            </w:r>
          </w:p>
          <w:p w14:paraId="156EC744" w14:textId="57F091EF" w:rsidR="00BD6E6B" w:rsidRPr="00A75739" w:rsidDel="00FE7E57" w:rsidRDefault="00BD6E6B" w:rsidP="00B23CFB">
            <w:r>
              <w:t>New Interchanges</w:t>
            </w:r>
          </w:p>
        </w:tc>
        <w:tc>
          <w:tcPr>
            <w:tcW w:w="2340" w:type="dxa"/>
            <w:vAlign w:val="center"/>
          </w:tcPr>
          <w:p w14:paraId="71484887" w14:textId="77777777" w:rsidR="00BD6E6B" w:rsidRDefault="00BD6E6B" w:rsidP="00B23CFB">
            <w:pPr>
              <w:cnfStyle w:val="000000000000" w:firstRow="0" w:lastRow="0" w:firstColumn="0" w:lastColumn="0" w:oddVBand="0" w:evenVBand="0" w:oddHBand="0" w:evenHBand="0" w:firstRowFirstColumn="0" w:firstRowLastColumn="0" w:lastRowFirstColumn="0" w:lastRowLastColumn="0"/>
            </w:pPr>
            <w:r>
              <w:t>Our region is dynamic and resilient</w:t>
            </w:r>
          </w:p>
          <w:p w14:paraId="55DF3506" w14:textId="7D134CB0" w:rsidR="00BD6E6B" w:rsidRPr="00A75739" w:rsidDel="00FE7E57" w:rsidRDefault="00BD6E6B" w:rsidP="00B23CFB">
            <w:pPr>
              <w:cnfStyle w:val="000000000000" w:firstRow="0" w:lastRow="0" w:firstColumn="0" w:lastColumn="0" w:oddVBand="0" w:evenVBand="0" w:oddHBand="0" w:evenHBand="0" w:firstRowFirstColumn="0" w:firstRowLastColumn="0" w:lastRowFirstColumn="0" w:lastRowLastColumn="0"/>
            </w:pPr>
            <w:r w:rsidRPr="004267A8">
              <w:t xml:space="preserve">Our </w:t>
            </w:r>
            <w:r>
              <w:t>communities are healthy and safe</w:t>
            </w:r>
          </w:p>
        </w:tc>
        <w:tc>
          <w:tcPr>
            <w:tcW w:w="5125" w:type="dxa"/>
            <w:vAlign w:val="center"/>
          </w:tcPr>
          <w:p w14:paraId="23E76605" w14:textId="77777777" w:rsidR="00BD6E6B" w:rsidRPr="00B533D0"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B533D0">
              <w:t>People do not die or face life-changing injuries when using any form of transportation. </w:t>
            </w:r>
          </w:p>
          <w:p w14:paraId="7F41A268" w14:textId="77777777" w:rsidR="00BD6E6B" w:rsidRPr="00B533D0"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B533D0">
              <w:t>People have more predictable travel times when traveling on highways, with a focus on reducing excessive delays.  </w:t>
            </w:r>
          </w:p>
          <w:p w14:paraId="140072C2" w14:textId="77777777" w:rsidR="00BD6E6B" w:rsidRPr="00B533D0"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B533D0">
              <w:t>People and businesses can rely on predictable and cost-effective movement of freight and goods. </w:t>
            </w:r>
          </w:p>
          <w:p w14:paraId="6F01FF4B" w14:textId="4AA63F03" w:rsidR="00BD6E6B" w:rsidRPr="00A75739" w:rsidDel="00FE7E5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B533D0">
              <w:t>The region’s transportation system protects, restores, and enhances natural systems (air, water, vegetation, and habitat quality). </w:t>
            </w:r>
          </w:p>
        </w:tc>
      </w:tr>
      <w:tr w:rsidR="00BD6E6B" w14:paraId="137E9FBC" w14:textId="77777777" w:rsidTr="00B23CFB">
        <w:tc>
          <w:tcPr>
            <w:cnfStyle w:val="001000000000" w:firstRow="0" w:lastRow="0" w:firstColumn="1" w:lastColumn="0" w:oddVBand="0" w:evenVBand="0" w:oddHBand="0" w:evenHBand="0" w:firstRowFirstColumn="0" w:firstRowLastColumn="0" w:lastRowFirstColumn="0" w:lastRowLastColumn="0"/>
            <w:tcW w:w="2605" w:type="dxa"/>
            <w:vAlign w:val="center"/>
          </w:tcPr>
          <w:p w14:paraId="6C8F8763" w14:textId="276ED5B3" w:rsidR="00BD6E6B" w:rsidRPr="00A75739" w:rsidDel="00FE7E57" w:rsidRDefault="00BD6E6B" w:rsidP="00B23CFB">
            <w:r>
              <w:t>Bridge Connections</w:t>
            </w:r>
          </w:p>
        </w:tc>
        <w:tc>
          <w:tcPr>
            <w:tcW w:w="2340" w:type="dxa"/>
            <w:vAlign w:val="center"/>
          </w:tcPr>
          <w:p w14:paraId="5261D457" w14:textId="77777777" w:rsidR="00BD6E6B" w:rsidRDefault="00BD6E6B" w:rsidP="00B23CFB">
            <w:pPr>
              <w:cnfStyle w:val="000000000000" w:firstRow="0" w:lastRow="0" w:firstColumn="0" w:lastColumn="0" w:oddVBand="0" w:evenVBand="0" w:oddHBand="0" w:evenHBand="0" w:firstRowFirstColumn="0" w:firstRowLastColumn="0" w:lastRowFirstColumn="0" w:lastRowLastColumn="0"/>
            </w:pPr>
            <w:r>
              <w:t>Our region is dynamic and resilient</w:t>
            </w:r>
          </w:p>
          <w:p w14:paraId="5949D3E7" w14:textId="0E1BEEA4" w:rsidR="00BD6E6B" w:rsidRPr="00A75739" w:rsidDel="00FE7E57" w:rsidRDefault="00BD6E6B" w:rsidP="00B23CFB">
            <w:pPr>
              <w:cnfStyle w:val="000000000000" w:firstRow="0" w:lastRow="0" w:firstColumn="0" w:lastColumn="0" w:oddVBand="0" w:evenVBand="0" w:oddHBand="0" w:evenHBand="0" w:firstRowFirstColumn="0" w:firstRowLastColumn="0" w:lastRowFirstColumn="0" w:lastRowLastColumn="0"/>
            </w:pPr>
            <w:r w:rsidRPr="004267A8">
              <w:t xml:space="preserve">Our </w:t>
            </w:r>
            <w:r>
              <w:t>communities are healthy and safe</w:t>
            </w:r>
          </w:p>
        </w:tc>
        <w:tc>
          <w:tcPr>
            <w:tcW w:w="5125" w:type="dxa"/>
            <w:vAlign w:val="center"/>
          </w:tcPr>
          <w:p w14:paraId="5E7D9E1E" w14:textId="77777777" w:rsidR="00BD6E6B" w:rsidRPr="00A56C31"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56C31">
              <w:t>People and businesses trust that transportation infrastructure and services will withstand and recover quickly from natural and human-caused disruptions. </w:t>
            </w:r>
          </w:p>
          <w:p w14:paraId="1427D9F0" w14:textId="77777777" w:rsidR="00BD6E6B" w:rsidRPr="00A56C31"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56C31">
              <w:t xml:space="preserve">People have better travel options </w:t>
            </w:r>
            <w:proofErr w:type="gramStart"/>
            <w:r w:rsidRPr="00A56C31">
              <w:t>beyond</w:t>
            </w:r>
            <w:proofErr w:type="gramEnd"/>
            <w:r w:rsidRPr="00A56C31">
              <w:t xml:space="preserve"> driving alone to meet their daily needs, with a focus on improving travel times, reliability, directness, and affordability. </w:t>
            </w:r>
          </w:p>
          <w:p w14:paraId="57E09B63" w14:textId="77777777" w:rsidR="00BD6E6B" w:rsidRPr="00A56C31"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56C31">
              <w:t>People do not die or face life-changing injuries when using any form of transportation. </w:t>
            </w:r>
          </w:p>
          <w:p w14:paraId="5EB5FE94" w14:textId="77777777" w:rsidR="00BD6E6B" w:rsidRPr="00A56C31"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56C31">
              <w:t>People and businesses can rely on predictable and cost-effective movement of freight and goods. </w:t>
            </w:r>
          </w:p>
          <w:p w14:paraId="00533756" w14:textId="45B38AA7" w:rsidR="00BD6E6B" w:rsidRPr="00A75739" w:rsidDel="00FE7E57" w:rsidRDefault="00BD6E6B"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56C31">
              <w:t>The region’s transportation system protects, restores, and enhances natural systems (air, water, vegetation, and habitat quality). </w:t>
            </w:r>
          </w:p>
        </w:tc>
      </w:tr>
      <w:tr w:rsidR="006B3876" w14:paraId="673F8EA4" w14:textId="77777777" w:rsidTr="00B23CFB">
        <w:tc>
          <w:tcPr>
            <w:cnfStyle w:val="001000000000" w:firstRow="0" w:lastRow="0" w:firstColumn="1" w:lastColumn="0" w:oddVBand="0" w:evenVBand="0" w:oddHBand="0" w:evenHBand="0" w:firstRowFirstColumn="0" w:firstRowLastColumn="0" w:lastRowFirstColumn="0" w:lastRowLastColumn="0"/>
            <w:tcW w:w="2605" w:type="dxa"/>
            <w:vAlign w:val="center"/>
          </w:tcPr>
          <w:p w14:paraId="3A8C5B6C" w14:textId="6DE8D567" w:rsidR="004267A8" w:rsidRPr="00A75739" w:rsidDel="00FE7E57" w:rsidRDefault="004267A8" w:rsidP="00B23CFB">
            <w:r>
              <w:t>EV Charging Infrastructure</w:t>
            </w:r>
            <w:r w:rsidR="00847271">
              <w:t xml:space="preserve"> (2028)</w:t>
            </w:r>
          </w:p>
        </w:tc>
        <w:tc>
          <w:tcPr>
            <w:tcW w:w="2340" w:type="dxa"/>
            <w:vAlign w:val="center"/>
          </w:tcPr>
          <w:p w14:paraId="359C039E" w14:textId="2E021CCB" w:rsidR="004267A8" w:rsidRPr="00A75739" w:rsidDel="00FE7E57" w:rsidRDefault="004267A8" w:rsidP="00B23CFB">
            <w:pPr>
              <w:cnfStyle w:val="000000000000" w:firstRow="0" w:lastRow="0" w:firstColumn="0" w:lastColumn="0" w:oddVBand="0" w:evenVBand="0" w:oddHBand="0" w:evenHBand="0" w:firstRowFirstColumn="0" w:firstRowLastColumn="0" w:lastRowFirstColumn="0" w:lastRowLastColumn="0"/>
            </w:pPr>
            <w:r>
              <w:t>We lead on addressing climate change</w:t>
            </w:r>
          </w:p>
        </w:tc>
        <w:tc>
          <w:tcPr>
            <w:tcW w:w="5125" w:type="dxa"/>
            <w:vAlign w:val="center"/>
          </w:tcPr>
          <w:p w14:paraId="55A1DBF1" w14:textId="77777777" w:rsidR="006B3876" w:rsidRPr="006B3876" w:rsidRDefault="006B3876"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B3876">
              <w:t>The region’s transportation system minimizes its greenhouse gas emissions.  </w:t>
            </w:r>
          </w:p>
          <w:p w14:paraId="3D43A5E1" w14:textId="078EE6F7" w:rsidR="004267A8" w:rsidRPr="00A75739" w:rsidDel="00FE7E57" w:rsidRDefault="006B3876"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B3876">
              <w:t>People have more reliable access to zero emissions vehicle infrastructure.</w:t>
            </w:r>
            <w:r>
              <w:rPr>
                <w:rStyle w:val="normaltextrun"/>
                <w:rFonts w:eastAsia="MS PGothic"/>
                <w:color w:val="171717"/>
              </w:rPr>
              <w:t> </w:t>
            </w:r>
            <w:r>
              <w:rPr>
                <w:rStyle w:val="eop"/>
                <w:rFonts w:eastAsia="MS PGothic"/>
                <w:color w:val="171717"/>
              </w:rPr>
              <w:t> </w:t>
            </w:r>
          </w:p>
        </w:tc>
      </w:tr>
      <w:tr w:rsidR="006B3876" w14:paraId="104CDF39" w14:textId="77777777" w:rsidTr="00B23CFB">
        <w:tc>
          <w:tcPr>
            <w:cnfStyle w:val="001000000000" w:firstRow="0" w:lastRow="0" w:firstColumn="1" w:lastColumn="0" w:oddVBand="0" w:evenVBand="0" w:oddHBand="0" w:evenHBand="0" w:firstRowFirstColumn="0" w:firstRowLastColumn="0" w:lastRowFirstColumn="0" w:lastRowLastColumn="0"/>
            <w:tcW w:w="2605" w:type="dxa"/>
            <w:vAlign w:val="center"/>
          </w:tcPr>
          <w:p w14:paraId="0B676AF0" w14:textId="2EC6626C" w:rsidR="004267A8" w:rsidRDefault="004267A8" w:rsidP="00B23CFB">
            <w:r>
              <w:t>Travel Demand Management (TDM)</w:t>
            </w:r>
          </w:p>
        </w:tc>
        <w:tc>
          <w:tcPr>
            <w:tcW w:w="2340" w:type="dxa"/>
            <w:vAlign w:val="center"/>
          </w:tcPr>
          <w:p w14:paraId="197E227A" w14:textId="5FB1109B" w:rsidR="004267A8" w:rsidRPr="00A75739" w:rsidDel="00FE7E57" w:rsidRDefault="002E0699" w:rsidP="00B23CFB">
            <w:pPr>
              <w:cnfStyle w:val="000000000000" w:firstRow="0" w:lastRow="0" w:firstColumn="0" w:lastColumn="0" w:oddVBand="0" w:evenVBand="0" w:oddHBand="0" w:evenHBand="0" w:firstRowFirstColumn="0" w:firstRowLastColumn="0" w:lastRowFirstColumn="0" w:lastRowLastColumn="0"/>
            </w:pPr>
            <w:r>
              <w:t>We lead on addressing climate change</w:t>
            </w:r>
          </w:p>
        </w:tc>
        <w:tc>
          <w:tcPr>
            <w:tcW w:w="5125" w:type="dxa"/>
            <w:vAlign w:val="center"/>
          </w:tcPr>
          <w:p w14:paraId="649F88E6" w14:textId="77777777" w:rsidR="006B3876" w:rsidRPr="006B3876" w:rsidRDefault="006B3876"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B3876">
              <w:t>The region’s transportation system minimizes its greenhouse gas emissions.  </w:t>
            </w:r>
          </w:p>
          <w:p w14:paraId="5753D56A" w14:textId="77777777" w:rsidR="006B3876" w:rsidRPr="006B3876" w:rsidRDefault="006B3876"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B3876">
              <w:t xml:space="preserve">By 2050, the region reduces vehicle miles </w:t>
            </w:r>
            <w:proofErr w:type="gramStart"/>
            <w:r w:rsidRPr="006B3876">
              <w:t>traveled</w:t>
            </w:r>
            <w:proofErr w:type="gramEnd"/>
            <w:r w:rsidRPr="006B3876">
              <w:t xml:space="preserve"> by 20 percent per capita below 2019 levels. </w:t>
            </w:r>
          </w:p>
          <w:p w14:paraId="16FD5905" w14:textId="083ED43D" w:rsidR="004267A8" w:rsidRPr="00A75739" w:rsidDel="00FE7E57" w:rsidRDefault="006B3876" w:rsidP="00B23C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B3876">
              <w:t>Use travel demand management (TDM) to plan, fund, and promote multimodal travel options and alternatives to driving alone.    </w:t>
            </w:r>
          </w:p>
        </w:tc>
      </w:tr>
    </w:tbl>
    <w:p w14:paraId="1EA993B2" w14:textId="0981745D" w:rsidR="000F4872" w:rsidRDefault="004C1E8F" w:rsidP="009A0C6D">
      <w:pPr>
        <w:pStyle w:val="Heading2"/>
      </w:pPr>
      <w:r>
        <w:lastRenderedPageBreak/>
        <w:t>Other Project Selection Processes</w:t>
      </w:r>
    </w:p>
    <w:p w14:paraId="422D8325" w14:textId="570AF9A7" w:rsidR="004C1E8F" w:rsidRDefault="2F48D0BE" w:rsidP="004C1E8F">
      <w:r>
        <w:t xml:space="preserve">There are several project types that are selected with these funds in processes different than using an application to score and rank projects. Information may still be collected on these categories to contribute to evaluation results and there may still be rules applied to these categories, such as minimum and maximum awards. </w:t>
      </w:r>
    </w:p>
    <w:p w14:paraId="5B427EBA" w14:textId="5D3788AF" w:rsidR="00B4261E" w:rsidRPr="009A0C6D" w:rsidRDefault="00B4261E" w:rsidP="00B4261E">
      <w:pPr>
        <w:pStyle w:val="ListParagraph"/>
        <w:numPr>
          <w:ilvl w:val="0"/>
          <w:numId w:val="10"/>
        </w:numPr>
        <w:rPr>
          <w:b/>
          <w:bCs/>
        </w:rPr>
      </w:pPr>
      <w:r w:rsidRPr="009A0C6D">
        <w:rPr>
          <w:b/>
          <w:bCs/>
        </w:rPr>
        <w:t>Arterial bus rapid transit</w:t>
      </w:r>
      <w:r>
        <w:rPr>
          <w:b/>
          <w:bCs/>
        </w:rPr>
        <w:t xml:space="preserve"> </w:t>
      </w:r>
      <w:r w:rsidR="001E2F45">
        <w:t xml:space="preserve">projects </w:t>
      </w:r>
      <w:r w:rsidR="00685842">
        <w:t xml:space="preserve">are </w:t>
      </w:r>
      <w:r w:rsidR="001E2F45">
        <w:t xml:space="preserve">selected for funding </w:t>
      </w:r>
      <w:r w:rsidR="00DF117A">
        <w:t xml:space="preserve">by </w:t>
      </w:r>
      <w:r w:rsidR="00CE7933">
        <w:t xml:space="preserve">the </w:t>
      </w:r>
      <w:r w:rsidR="00DF117A">
        <w:t>T</w:t>
      </w:r>
      <w:r w:rsidR="00CE7933">
        <w:t xml:space="preserve">ransportation </w:t>
      </w:r>
      <w:r w:rsidR="00DF117A">
        <w:t>A</w:t>
      </w:r>
      <w:r w:rsidR="00CE7933">
        <w:t xml:space="preserve">dvisory </w:t>
      </w:r>
      <w:r w:rsidR="00DF117A">
        <w:t>B</w:t>
      </w:r>
      <w:r w:rsidR="00CE7933">
        <w:t>oard (TAB)</w:t>
      </w:r>
      <w:r w:rsidR="00DF117A">
        <w:t xml:space="preserve"> </w:t>
      </w:r>
      <w:r w:rsidR="001E2F45">
        <w:t xml:space="preserve">based on </w:t>
      </w:r>
      <w:r w:rsidR="00840C4B">
        <w:t>regional</w:t>
      </w:r>
      <w:r w:rsidR="001E2F45">
        <w:t xml:space="preserve"> planning processes that </w:t>
      </w:r>
      <w:r w:rsidR="00840C4B">
        <w:t>evaluate</w:t>
      </w:r>
      <w:r w:rsidR="001E2F45">
        <w:t xml:space="preserve"> and prioritize </w:t>
      </w:r>
      <w:r w:rsidR="00685842">
        <w:t xml:space="preserve">similar projects </w:t>
      </w:r>
      <w:r w:rsidR="00DA16CE">
        <w:t xml:space="preserve">from a single applicant, Metro Transit. Metro Transit regularly updates their evaluation of </w:t>
      </w:r>
      <w:hyperlink r:id="rId21" w:history="1">
        <w:r w:rsidR="00DA16CE" w:rsidRPr="004C1C0A">
          <w:rPr>
            <w:rStyle w:val="Hyperlink"/>
          </w:rPr>
          <w:t>arterial bus rapid transit priorities</w:t>
        </w:r>
      </w:hyperlink>
      <w:r w:rsidR="00DA16CE">
        <w:t xml:space="preserve"> </w:t>
      </w:r>
      <w:r w:rsidR="004B4182">
        <w:t>(approximately every 5 years) and</w:t>
      </w:r>
      <w:r w:rsidR="000708BC">
        <w:t xml:space="preserve"> presents the priorities to TAB for review and comment. These priorities are also formalized in the TPP through an amendment</w:t>
      </w:r>
      <w:r w:rsidR="00CC00CC">
        <w:t xml:space="preserve">. The evaluation process includes robust community engagement and stakeholder input and coordination. </w:t>
      </w:r>
      <w:r w:rsidR="00995F73">
        <w:t xml:space="preserve">Metro Transit will provide a recommended </w:t>
      </w:r>
      <w:r w:rsidR="00810B25">
        <w:t>a</w:t>
      </w:r>
      <w:r w:rsidR="00995F73">
        <w:t xml:space="preserve">rterial bus rapid transit </w:t>
      </w:r>
      <w:r w:rsidR="003A7200">
        <w:t xml:space="preserve">line to TAB for consideration and final selection that will also include </w:t>
      </w:r>
      <w:r w:rsidR="00AC30FE">
        <w:t xml:space="preserve">requested performance metrics such as </w:t>
      </w:r>
      <w:r w:rsidR="00AB2597">
        <w:t>anticipated</w:t>
      </w:r>
      <w:r w:rsidR="005F6E45">
        <w:t xml:space="preserve"> new</w:t>
      </w:r>
      <w:r w:rsidR="00AB2597">
        <w:t xml:space="preserve"> transit ridership.</w:t>
      </w:r>
    </w:p>
    <w:p w14:paraId="39B38DAF" w14:textId="22EEC546" w:rsidR="0000551C" w:rsidRPr="009A0C6D" w:rsidRDefault="0000551C" w:rsidP="00B4261E">
      <w:pPr>
        <w:pStyle w:val="ListParagraph"/>
        <w:numPr>
          <w:ilvl w:val="0"/>
          <w:numId w:val="10"/>
        </w:numPr>
        <w:rPr>
          <w:b/>
          <w:bCs/>
        </w:rPr>
      </w:pPr>
      <w:r>
        <w:rPr>
          <w:b/>
          <w:bCs/>
        </w:rPr>
        <w:t>Travel demand management</w:t>
      </w:r>
      <w:r w:rsidR="00165B92">
        <w:rPr>
          <w:b/>
          <w:bCs/>
        </w:rPr>
        <w:t xml:space="preserve"> (TDM)</w:t>
      </w:r>
      <w:r>
        <w:rPr>
          <w:b/>
          <w:bCs/>
        </w:rPr>
        <w:t xml:space="preserve"> base funding </w:t>
      </w:r>
      <w:r w:rsidRPr="00FD1428">
        <w:t xml:space="preserve">is a funding amount established to </w:t>
      </w:r>
      <w:r w:rsidR="00DC43C9" w:rsidRPr="00FD1428">
        <w:t>sustain a base</w:t>
      </w:r>
      <w:r w:rsidR="00165B92" w:rsidRPr="00FD1428">
        <w:t xml:space="preserve">-level of funding for ongoing TDM </w:t>
      </w:r>
      <w:r w:rsidR="00405769" w:rsidRPr="00FD1428">
        <w:t>activities delivered by a set of regional TDM partners</w:t>
      </w:r>
      <w:r w:rsidR="00165B92" w:rsidRPr="00FD1428">
        <w:t xml:space="preserve"> </w:t>
      </w:r>
      <w:r w:rsidR="00405769" w:rsidRPr="00FD1428">
        <w:t xml:space="preserve">that </w:t>
      </w:r>
      <w:r w:rsidR="00840C4B" w:rsidRPr="00FD1428">
        <w:t>include</w:t>
      </w:r>
      <w:r w:rsidR="00405769" w:rsidRPr="00FD1428">
        <w:t xml:space="preserve"> Commuter Programs and transportation management organizations (TMOs)</w:t>
      </w:r>
      <w:r w:rsidR="00C803CB" w:rsidRPr="00FD1428">
        <w:t xml:space="preserve">. These partners have a long history of providing valuable TDM services in key regional markets </w:t>
      </w:r>
      <w:r w:rsidR="00E30EA2" w:rsidRPr="00FD1428">
        <w:t xml:space="preserve">and sustaining the program is an important foundational component of being able to expand to new markets through the TDM </w:t>
      </w:r>
      <w:r w:rsidR="00322E79">
        <w:t>application category</w:t>
      </w:r>
      <w:r w:rsidR="00E30EA2" w:rsidRPr="00FD1428">
        <w:t xml:space="preserve">. </w:t>
      </w:r>
      <w:r w:rsidR="003D6405" w:rsidRPr="00FD1428">
        <w:t xml:space="preserve">The TDM base funding will be evaluated </w:t>
      </w:r>
      <w:r w:rsidR="00DF69F3" w:rsidRPr="00FD1428">
        <w:t>by Council staff and TDM stakeholders with every Regional Solicitation</w:t>
      </w:r>
      <w:r w:rsidR="00D93380" w:rsidRPr="00FD1428">
        <w:t>.</w:t>
      </w:r>
      <w:r w:rsidR="00AE5318">
        <w:t xml:space="preserve"> </w:t>
      </w:r>
      <w:r w:rsidR="00784ADB" w:rsidRPr="00784ADB">
        <w:t>Commuter Programs and the TMOs will submit a workplan for each two-year funding cycle that will be vetted by the Regional TDM Program Manager through the regional TDM advisory process.</w:t>
      </w:r>
      <w:r w:rsidR="000D2169">
        <w:rPr>
          <w:u w:val="single"/>
        </w:rPr>
        <w:t xml:space="preserve"> A recommendation will then be </w:t>
      </w:r>
      <w:r w:rsidR="00131166" w:rsidRPr="00FD1428">
        <w:t xml:space="preserve">provided to TAB </w:t>
      </w:r>
      <w:r w:rsidR="00B11225">
        <w:t xml:space="preserve">for their consideration and </w:t>
      </w:r>
      <w:r w:rsidR="00131166" w:rsidRPr="00FD1428">
        <w:t xml:space="preserve">final </w:t>
      </w:r>
      <w:r w:rsidR="00B11225">
        <w:t>selection.</w:t>
      </w:r>
    </w:p>
    <w:p w14:paraId="0A0C15DA" w14:textId="057CAED7" w:rsidR="00337090" w:rsidRPr="009A0C6D" w:rsidRDefault="2F48D0BE" w:rsidP="00B4261E">
      <w:pPr>
        <w:pStyle w:val="ListParagraph"/>
        <w:numPr>
          <w:ilvl w:val="0"/>
          <w:numId w:val="10"/>
        </w:numPr>
        <w:rPr>
          <w:b/>
          <w:bCs/>
        </w:rPr>
      </w:pPr>
      <w:r w:rsidRPr="2F48D0BE">
        <w:rPr>
          <w:b/>
          <w:bCs/>
        </w:rPr>
        <w:t xml:space="preserve">Regional Model and Travel Behavior Inventory (TBI) </w:t>
      </w:r>
      <w:r>
        <w:t>is fund</w:t>
      </w:r>
      <w:r w:rsidR="005F6E45">
        <w:t>ed</w:t>
      </w:r>
      <w:r>
        <w:t xml:space="preserve"> </w:t>
      </w:r>
      <w:r w:rsidR="005F6E45">
        <w:t>to</w:t>
      </w:r>
      <w:r>
        <w:t xml:space="preserve"> support the data needs of project implementation for local and regional projects. </w:t>
      </w:r>
      <w:r w:rsidR="0008621A">
        <w:t xml:space="preserve">This funding ties directly to the </w:t>
      </w:r>
      <w:r w:rsidR="00D42172">
        <w:t xml:space="preserve">TPP’s overarching policy to “maintain a robust and current set of data, maps, plans, processes, and applications to support regional transportation planning.” </w:t>
      </w:r>
      <w:r>
        <w:t xml:space="preserve">The program is evaluated every </w:t>
      </w:r>
      <w:r w:rsidR="0062535F">
        <w:t xml:space="preserve">10 </w:t>
      </w:r>
      <w:r>
        <w:t>years to establish a funding program recommendation from TAB in partnership with commitments from MnDOT and Met Council to provide transportation planning funds.</w:t>
      </w:r>
      <w:r w:rsidR="00A87ACF">
        <w:t xml:space="preserve"> </w:t>
      </w:r>
      <w:r w:rsidR="00F7543A">
        <w:t xml:space="preserve">The Council will submit a workplan </w:t>
      </w:r>
      <w:r w:rsidR="001446E9">
        <w:t xml:space="preserve">and funding request </w:t>
      </w:r>
      <w:r w:rsidR="00F7543A">
        <w:t xml:space="preserve">for each two-year funding cycle that will be </w:t>
      </w:r>
      <w:r w:rsidR="00B35710">
        <w:t xml:space="preserve">vetted by the </w:t>
      </w:r>
      <w:r w:rsidR="00D37D0F">
        <w:t xml:space="preserve">Regional </w:t>
      </w:r>
      <w:r w:rsidR="00E27601">
        <w:t>Travel Forecasting Committee</w:t>
      </w:r>
      <w:r w:rsidR="00771225">
        <w:t xml:space="preserve">. </w:t>
      </w:r>
      <w:r w:rsidR="00771225" w:rsidRPr="00872C5E">
        <w:t xml:space="preserve">A recommendation will then be </w:t>
      </w:r>
      <w:r w:rsidR="00771225" w:rsidRPr="00FD1428">
        <w:t xml:space="preserve">provided to TAB prior </w:t>
      </w:r>
      <w:proofErr w:type="gramStart"/>
      <w:r w:rsidR="00771225">
        <w:t>for</w:t>
      </w:r>
      <w:proofErr w:type="gramEnd"/>
      <w:r w:rsidR="00771225">
        <w:t xml:space="preserve"> their consideration and </w:t>
      </w:r>
      <w:r w:rsidR="00771225" w:rsidRPr="00FD1428">
        <w:t xml:space="preserve">final </w:t>
      </w:r>
      <w:r w:rsidR="00771225">
        <w:t>selection.</w:t>
      </w:r>
      <w:r w:rsidR="00B35710">
        <w:t xml:space="preserve"> </w:t>
      </w:r>
    </w:p>
    <w:p w14:paraId="437D93F0" w14:textId="50E1C213" w:rsidR="00D93380" w:rsidRPr="00B53C56" w:rsidRDefault="6EBEAE27" w:rsidP="00B77A8A">
      <w:pPr>
        <w:pStyle w:val="ListParagraph"/>
        <w:numPr>
          <w:ilvl w:val="0"/>
          <w:numId w:val="10"/>
        </w:numPr>
      </w:pPr>
      <w:r w:rsidRPr="00B53C56">
        <w:rPr>
          <w:b/>
        </w:rPr>
        <w:t>Community Considerations Funding Priority:</w:t>
      </w:r>
      <w:r w:rsidRPr="00B53C56">
        <w:t xml:space="preserve"> </w:t>
      </w:r>
      <w:r w:rsidR="00B77A8A" w:rsidRPr="00B77A8A">
        <w:t xml:space="preserve">Projects receiving a </w:t>
      </w:r>
      <w:proofErr w:type="gramStart"/>
      <w:r w:rsidR="003A0E27">
        <w:t>H</w:t>
      </w:r>
      <w:r w:rsidR="00B77A8A" w:rsidRPr="00B77A8A">
        <w:t>igh</w:t>
      </w:r>
      <w:proofErr w:type="gramEnd"/>
      <w:r w:rsidR="00B77A8A" w:rsidRPr="00B77A8A">
        <w:t xml:space="preserve"> score on each of the three measures, if any, will be considered for funding priority. Up to one (1) project from each </w:t>
      </w:r>
      <w:r w:rsidR="00070650">
        <w:t>cycle</w:t>
      </w:r>
      <w:r w:rsidR="00B77A8A" w:rsidRPr="00B77A8A">
        <w:t xml:space="preserve"> that was not otherwise selected for funding will be recommended for full funding in either the </w:t>
      </w:r>
      <w:r w:rsidR="00A54916">
        <w:t>Dynamic and Resilient</w:t>
      </w:r>
      <w:r w:rsidR="00B77A8A" w:rsidRPr="00B77A8A">
        <w:t xml:space="preserve"> or Environment</w:t>
      </w:r>
      <w:r w:rsidR="00A54916">
        <w:t xml:space="preserve"> investment areas </w:t>
      </w:r>
      <w:r w:rsidR="00070650">
        <w:t>and their application</w:t>
      </w:r>
      <w:r w:rsidR="00B77A8A" w:rsidRPr="00B77A8A">
        <w:t xml:space="preserve"> categories.</w:t>
      </w:r>
    </w:p>
    <w:p w14:paraId="11F02AEE" w14:textId="253BFE3A" w:rsidR="00D55F16" w:rsidRPr="00693463" w:rsidRDefault="00693463" w:rsidP="009A0C6D">
      <w:r>
        <w:t xml:space="preserve">These project selection processes can be </w:t>
      </w:r>
      <w:r w:rsidR="00A504A7">
        <w:t xml:space="preserve">reviewed and </w:t>
      </w:r>
      <w:r w:rsidR="00C10D52">
        <w:t>changed</w:t>
      </w:r>
      <w:r w:rsidR="004304A5">
        <w:t xml:space="preserve"> </w:t>
      </w:r>
      <w:r w:rsidR="001C7144">
        <w:t xml:space="preserve">to accommodate new approaches </w:t>
      </w:r>
      <w:r w:rsidR="00303781">
        <w:t xml:space="preserve">every </w:t>
      </w:r>
      <w:r w:rsidR="00F17D6F">
        <w:t>two years with</w:t>
      </w:r>
      <w:r w:rsidR="00A504A7">
        <w:t xml:space="preserve"> adoption of the Regional Solicitation</w:t>
      </w:r>
      <w:r w:rsidR="009B2923">
        <w:t>, at the discretion of TAB and the Met Council</w:t>
      </w:r>
      <w:r w:rsidR="00A504A7">
        <w:t xml:space="preserve">. </w:t>
      </w:r>
    </w:p>
    <w:p w14:paraId="5B44F602" w14:textId="502742AF" w:rsidR="00290B37" w:rsidRPr="00E76FEE" w:rsidRDefault="00290B37" w:rsidP="009A0C6D">
      <w:pPr>
        <w:pStyle w:val="Heading2"/>
      </w:pPr>
      <w:r w:rsidRPr="00E76FEE">
        <w:t>Funding Availability</w:t>
      </w:r>
      <w:r w:rsidR="00A2689C">
        <w:t xml:space="preserve"> and </w:t>
      </w:r>
      <w:r w:rsidR="00BC6B9A">
        <w:t>Targets</w:t>
      </w:r>
      <w:r w:rsidR="00A2689C">
        <w:t xml:space="preserve"> and</w:t>
      </w:r>
      <w:r w:rsidR="00BC6B9A">
        <w:t xml:space="preserve"> </w:t>
      </w:r>
      <w:r w:rsidRPr="00E76FEE">
        <w:t>Minimum</w:t>
      </w:r>
      <w:r w:rsidR="00BC6B9A">
        <w:t xml:space="preserve"> </w:t>
      </w:r>
      <w:r w:rsidRPr="00E76FEE">
        <w:t>and Maximum</w:t>
      </w:r>
      <w:r w:rsidR="00BC6B9A">
        <w:t xml:space="preserve"> </w:t>
      </w:r>
      <w:r w:rsidR="00A2689C">
        <w:t xml:space="preserve">Project </w:t>
      </w:r>
      <w:r w:rsidR="00BC6B9A">
        <w:t>Award</w:t>
      </w:r>
      <w:r w:rsidRPr="00E76FEE">
        <w:t>s</w:t>
      </w:r>
    </w:p>
    <w:p w14:paraId="0C26CE75" w14:textId="5F48F2D1" w:rsidR="00FD1428" w:rsidRPr="00A76CD4" w:rsidRDefault="2F48D0BE" w:rsidP="00EB79FC">
      <w:r>
        <w:t>A total of approximately $2</w:t>
      </w:r>
      <w:r w:rsidR="001837E8">
        <w:t>4</w:t>
      </w:r>
      <w:r>
        <w:t xml:space="preserve">0 million in federal funds is anticipated to be available in this solicitation for program years 2030 and 2031. </w:t>
      </w:r>
      <w:bookmarkStart w:id="0" w:name="_Hlk126749807"/>
      <w:r>
        <w:t>As shown in Table 2, funding targets have been approved by TAB to give applicants an understanding of the general funding levels based on historic funding levels. TAB reserves the right to adjust these funding levels depending on the amount and quality of projects submitted, especially as this is the first Regional Solicitation under a new structure.</w:t>
      </w:r>
      <w:bookmarkEnd w:id="0"/>
      <w:r>
        <w:t xml:space="preserve"> It is expected that funding options will be discussed by TAB that are both above and below the target funding levels. </w:t>
      </w:r>
    </w:p>
    <w:p w14:paraId="7F843E04" w14:textId="1433DE59" w:rsidR="00290B37" w:rsidRDefault="00290B37" w:rsidP="00290B37">
      <w:pPr>
        <w:pStyle w:val="Caption"/>
      </w:pPr>
      <w:r w:rsidRPr="00E76FEE">
        <w:lastRenderedPageBreak/>
        <w:t xml:space="preserve">Table 2: </w:t>
      </w:r>
      <w:r w:rsidR="00D563E7">
        <w:t xml:space="preserve">Federal </w:t>
      </w:r>
      <w:r w:rsidRPr="00E76FEE">
        <w:t xml:space="preserve">Funding </w:t>
      </w:r>
      <w:r w:rsidR="00675190">
        <w:t>Targets</w:t>
      </w:r>
    </w:p>
    <w:tbl>
      <w:tblPr>
        <w:tblStyle w:val="MediumShading1-Accent11"/>
        <w:tblW w:w="5000" w:type="pct"/>
        <w:tblLook w:val="06A0" w:firstRow="1" w:lastRow="0" w:firstColumn="1" w:lastColumn="0" w:noHBand="1" w:noVBand="1"/>
      </w:tblPr>
      <w:tblGrid>
        <w:gridCol w:w="5729"/>
        <w:gridCol w:w="2115"/>
        <w:gridCol w:w="2216"/>
      </w:tblGrid>
      <w:tr w:rsidR="00D563E7" w14:paraId="31A5470D" w14:textId="77777777" w:rsidTr="00215ADE">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02A0BB99" w14:textId="5E6DDF42" w:rsidR="00D563E7" w:rsidRDefault="00BC54FF">
            <w:pPr>
              <w:spacing w:after="0"/>
            </w:pPr>
            <w:r>
              <w:rPr>
                <w:color w:val="FFFFFF" w:themeColor="background1"/>
              </w:rPr>
              <w:t>Investment Areas/</w:t>
            </w:r>
            <w:r w:rsidR="001837E8">
              <w:rPr>
                <w:color w:val="FFFFFF" w:themeColor="background1"/>
              </w:rPr>
              <w:t xml:space="preserve"> Application Categories</w:t>
            </w:r>
          </w:p>
        </w:tc>
        <w:tc>
          <w:tcPr>
            <w:tcW w:w="2115" w:type="dxa"/>
            <w:vAlign w:val="center"/>
          </w:tcPr>
          <w:p w14:paraId="6B499D8B" w14:textId="77777777" w:rsidR="00D563E7" w:rsidRPr="00383038" w:rsidRDefault="00D563E7" w:rsidP="00F17D6F">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3D9F074">
              <w:rPr>
                <w:color w:val="FFFFFF" w:themeColor="background1"/>
              </w:rPr>
              <w:t>Funding Target</w:t>
            </w:r>
          </w:p>
        </w:tc>
        <w:tc>
          <w:tcPr>
            <w:tcW w:w="2216" w:type="dxa"/>
          </w:tcPr>
          <w:p w14:paraId="022DC9D9" w14:textId="77777777" w:rsidR="00D563E7" w:rsidRPr="00383038" w:rsidRDefault="00D563E7" w:rsidP="00F17D6F">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83038">
              <w:rPr>
                <w:color w:val="FFFFFF" w:themeColor="background1"/>
              </w:rPr>
              <w:t>Percent of Total</w:t>
            </w:r>
          </w:p>
        </w:tc>
      </w:tr>
      <w:tr w:rsidR="00D563E7" w14:paraId="2984820A"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79647F98" w14:textId="4E684655" w:rsidR="00D563E7" w:rsidRDefault="00D563E7">
            <w:pPr>
              <w:spacing w:after="0"/>
            </w:pPr>
            <w:r>
              <w:t xml:space="preserve">Safety (two </w:t>
            </w:r>
            <w:r w:rsidR="002903D0">
              <w:t>application</w:t>
            </w:r>
            <w:r>
              <w:t xml:space="preserve"> categories)</w:t>
            </w:r>
          </w:p>
        </w:tc>
        <w:tc>
          <w:tcPr>
            <w:tcW w:w="2115" w:type="dxa"/>
            <w:vAlign w:val="center"/>
          </w:tcPr>
          <w:p w14:paraId="1F7FE33B" w14:textId="367C6B28"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w:t>
            </w:r>
            <w:r w:rsidR="00A35CCF">
              <w:t>29</w:t>
            </w:r>
            <w:r>
              <w:t xml:space="preserve"> million</w:t>
            </w:r>
          </w:p>
        </w:tc>
        <w:tc>
          <w:tcPr>
            <w:tcW w:w="2216" w:type="dxa"/>
          </w:tcPr>
          <w:p w14:paraId="083D0F66" w14:textId="7777777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12%</w:t>
            </w:r>
          </w:p>
        </w:tc>
      </w:tr>
      <w:tr w:rsidR="00D563E7" w14:paraId="2882E0F3"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5B7D8622" w14:textId="40B9A525" w:rsidR="00D563E7" w:rsidRDefault="00D563E7">
            <w:pPr>
              <w:spacing w:after="0"/>
            </w:pPr>
            <w:r>
              <w:t xml:space="preserve">Bicycle/Pedestrian (one </w:t>
            </w:r>
            <w:r w:rsidR="002903D0">
              <w:t>application</w:t>
            </w:r>
            <w:r>
              <w:t xml:space="preserve"> category)</w:t>
            </w:r>
          </w:p>
        </w:tc>
        <w:tc>
          <w:tcPr>
            <w:tcW w:w="2115" w:type="dxa"/>
            <w:vAlign w:val="center"/>
          </w:tcPr>
          <w:p w14:paraId="798FB1A5" w14:textId="5D977A9C"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w:t>
            </w:r>
            <w:r w:rsidR="00A35CCF">
              <w:t>34</w:t>
            </w:r>
            <w:r>
              <w:t xml:space="preserve"> million</w:t>
            </w:r>
          </w:p>
        </w:tc>
        <w:tc>
          <w:tcPr>
            <w:tcW w:w="2216" w:type="dxa"/>
          </w:tcPr>
          <w:p w14:paraId="189F0B58" w14:textId="7777777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14%</w:t>
            </w:r>
          </w:p>
        </w:tc>
      </w:tr>
      <w:tr w:rsidR="00D563E7" w14:paraId="0EFA3864"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3FFC83AC" w14:textId="20C4C83E" w:rsidR="00D563E7" w:rsidRDefault="00D563E7">
            <w:pPr>
              <w:spacing w:after="0"/>
            </w:pPr>
            <w:r>
              <w:t xml:space="preserve">Transit (two </w:t>
            </w:r>
            <w:r w:rsidR="002903D0">
              <w:t>application</w:t>
            </w:r>
            <w:r>
              <w:t xml:space="preserve"> categories)</w:t>
            </w:r>
          </w:p>
        </w:tc>
        <w:tc>
          <w:tcPr>
            <w:tcW w:w="2115" w:type="dxa"/>
            <w:vAlign w:val="center"/>
          </w:tcPr>
          <w:p w14:paraId="55543C91" w14:textId="4D9B83A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w:t>
            </w:r>
            <w:r w:rsidR="00A35CCF">
              <w:t>58</w:t>
            </w:r>
            <w:r>
              <w:t xml:space="preserve"> million</w:t>
            </w:r>
          </w:p>
        </w:tc>
        <w:tc>
          <w:tcPr>
            <w:tcW w:w="2216" w:type="dxa"/>
          </w:tcPr>
          <w:p w14:paraId="1BA473C6" w14:textId="7777777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24%</w:t>
            </w:r>
          </w:p>
        </w:tc>
      </w:tr>
      <w:tr w:rsidR="00D563E7" w14:paraId="77CB6A29"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3052166B" w14:textId="1935C226" w:rsidR="00D563E7" w:rsidRDefault="00D563E7">
            <w:pPr>
              <w:spacing w:after="0"/>
            </w:pPr>
            <w:r>
              <w:t xml:space="preserve">Roadway (four </w:t>
            </w:r>
            <w:r w:rsidR="002903D0">
              <w:t>application</w:t>
            </w:r>
            <w:r>
              <w:t xml:space="preserve"> categories)</w:t>
            </w:r>
          </w:p>
        </w:tc>
        <w:tc>
          <w:tcPr>
            <w:tcW w:w="2115" w:type="dxa"/>
            <w:vAlign w:val="center"/>
          </w:tcPr>
          <w:p w14:paraId="5832C24A" w14:textId="2515F91B"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w:t>
            </w:r>
            <w:r w:rsidR="00A35CCF">
              <w:t>106</w:t>
            </w:r>
            <w:r>
              <w:t xml:space="preserve"> million</w:t>
            </w:r>
          </w:p>
        </w:tc>
        <w:tc>
          <w:tcPr>
            <w:tcW w:w="2216" w:type="dxa"/>
          </w:tcPr>
          <w:p w14:paraId="2E546C4C" w14:textId="7777777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44%</w:t>
            </w:r>
          </w:p>
        </w:tc>
      </w:tr>
      <w:tr w:rsidR="00D563E7" w14:paraId="0F90EF18"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vAlign w:val="center"/>
          </w:tcPr>
          <w:p w14:paraId="51B49CD5" w14:textId="63553D36" w:rsidR="00D563E7" w:rsidRDefault="00D563E7">
            <w:pPr>
              <w:spacing w:after="0"/>
            </w:pPr>
            <w:r>
              <w:t xml:space="preserve">Environment (two </w:t>
            </w:r>
            <w:r w:rsidR="002903D0">
              <w:t>application</w:t>
            </w:r>
            <w:r>
              <w:t xml:space="preserve"> categories)</w:t>
            </w:r>
          </w:p>
        </w:tc>
        <w:tc>
          <w:tcPr>
            <w:tcW w:w="2115" w:type="dxa"/>
            <w:vAlign w:val="center"/>
          </w:tcPr>
          <w:p w14:paraId="18F16DA0" w14:textId="07DC1BC2"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$1</w:t>
            </w:r>
            <w:r w:rsidR="00A35CCF">
              <w:t xml:space="preserve">4 </w:t>
            </w:r>
            <w:r>
              <w:t>million</w:t>
            </w:r>
          </w:p>
        </w:tc>
        <w:tc>
          <w:tcPr>
            <w:tcW w:w="2216" w:type="dxa"/>
          </w:tcPr>
          <w:p w14:paraId="0107493A" w14:textId="77777777" w:rsidR="00D563E7" w:rsidRDefault="00D563E7" w:rsidP="00F17D6F">
            <w:pPr>
              <w:spacing w:after="0"/>
              <w:jc w:val="center"/>
              <w:cnfStyle w:val="000000000000" w:firstRow="0" w:lastRow="0" w:firstColumn="0" w:lastColumn="0" w:oddVBand="0" w:evenVBand="0" w:oddHBand="0" w:evenHBand="0" w:firstRowFirstColumn="0" w:firstRowLastColumn="0" w:lastRowFirstColumn="0" w:lastRowLastColumn="0"/>
            </w:pPr>
            <w:r>
              <w:t>6%</w:t>
            </w:r>
          </w:p>
        </w:tc>
      </w:tr>
      <w:tr w:rsidR="00D563E7" w14:paraId="44D27D74"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5729" w:type="dxa"/>
            <w:shd w:val="clear" w:color="auto" w:fill="D9D9D9" w:themeFill="background1" w:themeFillShade="D9"/>
            <w:vAlign w:val="center"/>
          </w:tcPr>
          <w:p w14:paraId="463127F6" w14:textId="0D7A4ACB" w:rsidR="00D563E7" w:rsidRDefault="00D563E7" w:rsidP="00220CB4">
            <w:pPr>
              <w:spacing w:after="0"/>
            </w:pPr>
            <w:r>
              <w:t>Total Federal</w:t>
            </w:r>
            <w:r w:rsidR="00736D78">
              <w:t xml:space="preserve"> Funding</w:t>
            </w:r>
          </w:p>
        </w:tc>
        <w:tc>
          <w:tcPr>
            <w:tcW w:w="2115" w:type="dxa"/>
            <w:shd w:val="clear" w:color="auto" w:fill="D9D9D9" w:themeFill="background1" w:themeFillShade="D9"/>
            <w:vAlign w:val="center"/>
          </w:tcPr>
          <w:p w14:paraId="66D6EF34" w14:textId="51D71D44" w:rsidR="00D563E7" w:rsidRPr="00A76CD4" w:rsidRDefault="00D563E7" w:rsidP="00220CB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A76CD4">
              <w:rPr>
                <w:b/>
                <w:bCs/>
              </w:rPr>
              <w:t>$2</w:t>
            </w:r>
            <w:r w:rsidR="00220CB4">
              <w:rPr>
                <w:b/>
                <w:bCs/>
              </w:rPr>
              <w:t>40</w:t>
            </w:r>
            <w:r w:rsidRPr="00A76CD4">
              <w:rPr>
                <w:b/>
                <w:bCs/>
              </w:rPr>
              <w:t xml:space="preserve"> million</w:t>
            </w:r>
          </w:p>
        </w:tc>
        <w:tc>
          <w:tcPr>
            <w:tcW w:w="2216" w:type="dxa"/>
            <w:shd w:val="clear" w:color="auto" w:fill="D9D9D9" w:themeFill="background1" w:themeFillShade="D9"/>
            <w:vAlign w:val="center"/>
          </w:tcPr>
          <w:p w14:paraId="5EA39686" w14:textId="77777777" w:rsidR="00D563E7" w:rsidRPr="00A76CD4" w:rsidRDefault="00D563E7" w:rsidP="00220CB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A76CD4">
              <w:rPr>
                <w:b/>
                <w:bCs/>
              </w:rPr>
              <w:t>100%</w:t>
            </w:r>
          </w:p>
        </w:tc>
      </w:tr>
    </w:tbl>
    <w:p w14:paraId="0D89BB23" w14:textId="1A09D45D" w:rsidR="00B77A8A" w:rsidRPr="00A96E24" w:rsidRDefault="00FD2B7F" w:rsidP="00FD1428">
      <w:pPr>
        <w:rPr>
          <w:rStyle w:val="Emphasis"/>
          <w:sz w:val="20"/>
          <w:szCs w:val="20"/>
        </w:rPr>
      </w:pPr>
      <w:r w:rsidRPr="2F48D0BE">
        <w:rPr>
          <w:rStyle w:val="Emphasis"/>
          <w:sz w:val="20"/>
          <w:szCs w:val="20"/>
        </w:rPr>
        <w:t>Amounts shown assume that some level of over programming will occur beyond $2</w:t>
      </w:r>
      <w:r w:rsidR="00220CB4">
        <w:rPr>
          <w:rStyle w:val="Emphasis"/>
          <w:sz w:val="20"/>
          <w:szCs w:val="20"/>
        </w:rPr>
        <w:t>4</w:t>
      </w:r>
      <w:r w:rsidRPr="2F48D0BE">
        <w:rPr>
          <w:rStyle w:val="Emphasis"/>
          <w:sz w:val="20"/>
          <w:szCs w:val="20"/>
        </w:rPr>
        <w:t xml:space="preserve">0M, but TAB will determine the exact amount as part of project selection. Included in this overprogramming will be </w:t>
      </w:r>
      <w:proofErr w:type="gramStart"/>
      <w:r w:rsidRPr="2F48D0BE">
        <w:rPr>
          <w:rStyle w:val="Emphasis"/>
          <w:sz w:val="20"/>
          <w:szCs w:val="20"/>
        </w:rPr>
        <w:t>the approximately</w:t>
      </w:r>
      <w:proofErr w:type="gramEnd"/>
      <w:r w:rsidRPr="2F48D0BE">
        <w:rPr>
          <w:rStyle w:val="Emphasis"/>
          <w:sz w:val="20"/>
          <w:szCs w:val="20"/>
        </w:rPr>
        <w:t xml:space="preserve"> $1.5 million for regional modeling and the travel behavior inventory. In addition, project selection for the EV Charging </w:t>
      </w:r>
      <w:r w:rsidR="00322E79">
        <w:rPr>
          <w:rStyle w:val="Emphasis"/>
          <w:sz w:val="20"/>
          <w:szCs w:val="20"/>
        </w:rPr>
        <w:t>application category</w:t>
      </w:r>
      <w:r w:rsidRPr="00A96E24">
        <w:rPr>
          <w:rStyle w:val="Emphasis"/>
          <w:sz w:val="20"/>
          <w:szCs w:val="20"/>
        </w:rPr>
        <w:t xml:space="preserve"> (under Environment) will not occur until the 2028 funding cycle, closer to project implementation.</w:t>
      </w:r>
    </w:p>
    <w:p w14:paraId="2AF63C66" w14:textId="78CEAF69" w:rsidR="00FD1428" w:rsidRDefault="00FD1428" w:rsidP="00105181">
      <w:pPr>
        <w:spacing w:after="120"/>
      </w:pPr>
      <w:r w:rsidRPr="00A96E24">
        <w:t xml:space="preserve">In addition, TAB approved a target of $50 million in </w:t>
      </w:r>
      <w:r w:rsidR="00420FF5">
        <w:t>r</w:t>
      </w:r>
      <w:r w:rsidRPr="00A96E24">
        <w:t xml:space="preserve">egional </w:t>
      </w:r>
      <w:r w:rsidR="00420FF5">
        <w:t>a</w:t>
      </w:r>
      <w:r w:rsidRPr="00A96E24">
        <w:t xml:space="preserve">ctive </w:t>
      </w:r>
      <w:r w:rsidR="00420FF5">
        <w:t>t</w:t>
      </w:r>
      <w:r w:rsidRPr="00A96E24">
        <w:t xml:space="preserve">ransportation </w:t>
      </w:r>
      <w:r w:rsidR="00420FF5">
        <w:t>s</w:t>
      </w:r>
      <w:r w:rsidRPr="00A96E24">
        <w:t>ales</w:t>
      </w:r>
      <w:r w:rsidR="00420FF5">
        <w:t xml:space="preserve"> t</w:t>
      </w:r>
      <w:r w:rsidRPr="00A96E24">
        <w:t>ax funding to be awarded to projects in the Local Bicycle Facilities, Local Pedestrian Facilities</w:t>
      </w:r>
      <w:r w:rsidR="00420FF5">
        <w:t>,</w:t>
      </w:r>
      <w:r w:rsidRPr="00A96E24">
        <w:t xml:space="preserve"> and Active Transportation categories. </w:t>
      </w:r>
      <w:r w:rsidR="00A969CA" w:rsidRPr="00A96E24">
        <w:t xml:space="preserve">TAB maintains </w:t>
      </w:r>
      <w:r w:rsidR="006C0E8C">
        <w:t xml:space="preserve">its </w:t>
      </w:r>
      <w:r w:rsidR="00A969CA" w:rsidRPr="00A96E24">
        <w:t>discretion</w:t>
      </w:r>
      <w:r w:rsidR="00D643FB" w:rsidRPr="00A96E24">
        <w:t xml:space="preserve"> </w:t>
      </w:r>
      <w:r w:rsidR="00335BD7">
        <w:t>on project selection</w:t>
      </w:r>
      <w:r w:rsidR="00C5530D">
        <w:t xml:space="preserve"> to ensure regional balance is attained for selected</w:t>
      </w:r>
      <w:r w:rsidR="00D643FB" w:rsidRPr="00A96E24">
        <w:t xml:space="preserve"> </w:t>
      </w:r>
      <w:r w:rsidR="00A969CA" w:rsidRPr="00A96E24">
        <w:t>Active Transportation</w:t>
      </w:r>
      <w:r w:rsidR="00D643FB" w:rsidRPr="00A96E24">
        <w:t xml:space="preserve"> </w:t>
      </w:r>
      <w:r w:rsidR="00233F40">
        <w:t xml:space="preserve">Solicitation </w:t>
      </w:r>
      <w:r w:rsidR="00D643FB" w:rsidRPr="00A96E24">
        <w:t>project</w:t>
      </w:r>
      <w:r w:rsidR="00C5530D">
        <w:t>s</w:t>
      </w:r>
      <w:r w:rsidR="00A969CA" w:rsidRPr="00A96E24">
        <w:t>.</w:t>
      </w:r>
      <w:r w:rsidRPr="00A96E24">
        <w:t xml:space="preserve"> Two million of this $50 million </w:t>
      </w:r>
      <w:r w:rsidR="00233F40">
        <w:t>is</w:t>
      </w:r>
      <w:r w:rsidRPr="00A96E24">
        <w:t xml:space="preserve"> target</w:t>
      </w:r>
      <w:r w:rsidR="00233F40">
        <w:t>ed</w:t>
      </w:r>
      <w:r w:rsidRPr="00A96E24">
        <w:t xml:space="preserve"> for Activ</w:t>
      </w:r>
      <w:r>
        <w:t xml:space="preserve">e Transportation Planning. </w:t>
      </w:r>
    </w:p>
    <w:p w14:paraId="28D9740B" w14:textId="288900F3" w:rsidR="00A03C4A" w:rsidRPr="00033464" w:rsidRDefault="00A03C4A" w:rsidP="00D45FAC">
      <w:pPr>
        <w:pStyle w:val="Caption"/>
      </w:pPr>
      <w:r>
        <w:t xml:space="preserve">Table 3: Active </w:t>
      </w:r>
      <w:r w:rsidRPr="00D45FAC">
        <w:t>Transportation</w:t>
      </w:r>
      <w:r>
        <w:t xml:space="preserve"> Funding </w:t>
      </w:r>
      <w:r w:rsidR="00155EE7">
        <w:t>Targets</w:t>
      </w:r>
    </w:p>
    <w:tbl>
      <w:tblPr>
        <w:tblStyle w:val="MediumShading1-Accent11"/>
        <w:tblW w:w="4960" w:type="pct"/>
        <w:tblLook w:val="06A0" w:firstRow="1" w:lastRow="0" w:firstColumn="1" w:lastColumn="0" w:noHBand="1" w:noVBand="1"/>
      </w:tblPr>
      <w:tblGrid>
        <w:gridCol w:w="7190"/>
        <w:gridCol w:w="1530"/>
        <w:gridCol w:w="1260"/>
      </w:tblGrid>
      <w:tr w:rsidR="00496D6E" w14:paraId="47C48A66" w14:textId="7030A391" w:rsidTr="007C71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90" w:type="dxa"/>
            <w:vAlign w:val="center"/>
          </w:tcPr>
          <w:p w14:paraId="2DFAAADC" w14:textId="1FCC47D5" w:rsidR="00496D6E" w:rsidRDefault="001837E8" w:rsidP="00383038">
            <w:pPr>
              <w:spacing w:after="0"/>
            </w:pPr>
            <w:r>
              <w:rPr>
                <w:color w:val="FFFFFF" w:themeColor="background1"/>
              </w:rPr>
              <w:t>Investment Areas/ Application Categories</w:t>
            </w:r>
          </w:p>
        </w:tc>
        <w:tc>
          <w:tcPr>
            <w:tcW w:w="1530" w:type="dxa"/>
            <w:vAlign w:val="center"/>
          </w:tcPr>
          <w:p w14:paraId="047997E3" w14:textId="58C30AF3" w:rsidR="00496D6E" w:rsidRPr="00383038" w:rsidRDefault="71442294" w:rsidP="00F17D6F">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3D9F074">
              <w:rPr>
                <w:color w:val="FFFFFF" w:themeColor="background1"/>
              </w:rPr>
              <w:t>Funding Target</w:t>
            </w:r>
          </w:p>
        </w:tc>
        <w:tc>
          <w:tcPr>
            <w:tcW w:w="1260" w:type="dxa"/>
            <w:vAlign w:val="center"/>
          </w:tcPr>
          <w:p w14:paraId="14FFF63A" w14:textId="0D682098" w:rsidR="00496D6E" w:rsidRPr="00383038" w:rsidRDefault="00496D6E" w:rsidP="00F17D6F">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83038">
              <w:rPr>
                <w:color w:val="FFFFFF" w:themeColor="background1"/>
              </w:rPr>
              <w:t>Percent of Total</w:t>
            </w:r>
          </w:p>
        </w:tc>
      </w:tr>
      <w:tr w:rsidR="00EF3CB4" w14:paraId="700A1A07"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7190" w:type="dxa"/>
            <w:vAlign w:val="center"/>
          </w:tcPr>
          <w:p w14:paraId="6CB28173" w14:textId="5F6509E5" w:rsidR="00EF3CB4" w:rsidRDefault="00EF3CB4" w:rsidP="00383038">
            <w:pPr>
              <w:spacing w:after="0"/>
            </w:pPr>
            <w:r>
              <w:t xml:space="preserve">Local Bicycle and Pedestrian Projects </w:t>
            </w:r>
            <w:r w:rsidR="00175AD9">
              <w:t xml:space="preserve">(two </w:t>
            </w:r>
            <w:r w:rsidR="00220CB4">
              <w:t xml:space="preserve">application </w:t>
            </w:r>
            <w:r w:rsidR="00175AD9">
              <w:t>categori</w:t>
            </w:r>
            <w:r w:rsidR="00250F59">
              <w:t>e</w:t>
            </w:r>
            <w:r w:rsidR="00175AD9">
              <w:t>s)</w:t>
            </w:r>
          </w:p>
        </w:tc>
        <w:tc>
          <w:tcPr>
            <w:tcW w:w="1530" w:type="dxa"/>
            <w:vAlign w:val="center"/>
          </w:tcPr>
          <w:p w14:paraId="171D0A72" w14:textId="5936B48C" w:rsidR="00EF3CB4" w:rsidRDefault="6EBEAE27" w:rsidP="00F17D6F">
            <w:pPr>
              <w:spacing w:after="0"/>
              <w:jc w:val="center"/>
              <w:cnfStyle w:val="000000000000" w:firstRow="0" w:lastRow="0" w:firstColumn="0" w:lastColumn="0" w:oddVBand="0" w:evenVBand="0" w:oddHBand="0" w:evenHBand="0" w:firstRowFirstColumn="0" w:firstRowLastColumn="0" w:lastRowFirstColumn="0" w:lastRowLastColumn="0"/>
            </w:pPr>
            <w:r>
              <w:t>$48 million</w:t>
            </w:r>
          </w:p>
        </w:tc>
        <w:tc>
          <w:tcPr>
            <w:tcW w:w="1260" w:type="dxa"/>
            <w:vAlign w:val="center"/>
          </w:tcPr>
          <w:p w14:paraId="50268005" w14:textId="60514DE2" w:rsidR="00EF3CB4" w:rsidRDefault="00EF3CB4" w:rsidP="00F17D6F">
            <w:pPr>
              <w:spacing w:after="0"/>
              <w:jc w:val="center"/>
              <w:cnfStyle w:val="000000000000" w:firstRow="0" w:lastRow="0" w:firstColumn="0" w:lastColumn="0" w:oddVBand="0" w:evenVBand="0" w:oddHBand="0" w:evenHBand="0" w:firstRowFirstColumn="0" w:firstRowLastColumn="0" w:lastRowFirstColumn="0" w:lastRowLastColumn="0"/>
            </w:pPr>
            <w:r>
              <w:t>96%</w:t>
            </w:r>
          </w:p>
        </w:tc>
      </w:tr>
      <w:tr w:rsidR="00EF3CB4" w14:paraId="0197C38D" w14:textId="77777777" w:rsidTr="00215ADE">
        <w:trPr>
          <w:trHeight w:val="288"/>
        </w:trPr>
        <w:tc>
          <w:tcPr>
            <w:cnfStyle w:val="001000000000" w:firstRow="0" w:lastRow="0" w:firstColumn="1" w:lastColumn="0" w:oddVBand="0" w:evenVBand="0" w:oddHBand="0" w:evenHBand="0" w:firstRowFirstColumn="0" w:firstRowLastColumn="0" w:lastRowFirstColumn="0" w:lastRowLastColumn="0"/>
            <w:tcW w:w="7190" w:type="dxa"/>
            <w:vAlign w:val="center"/>
          </w:tcPr>
          <w:p w14:paraId="747F6716" w14:textId="326E9EDA" w:rsidR="00EF3CB4" w:rsidRDefault="00EF3CB4" w:rsidP="00383038">
            <w:pPr>
              <w:spacing w:after="0"/>
            </w:pPr>
            <w:r>
              <w:t>Active Transportation Planning</w:t>
            </w:r>
            <w:r w:rsidR="00175AD9">
              <w:t xml:space="preserve"> (one </w:t>
            </w:r>
            <w:r w:rsidR="00220CB4">
              <w:t>application</w:t>
            </w:r>
            <w:r w:rsidR="00175AD9">
              <w:t xml:space="preserve"> category)</w:t>
            </w:r>
          </w:p>
        </w:tc>
        <w:tc>
          <w:tcPr>
            <w:tcW w:w="1530" w:type="dxa"/>
            <w:vAlign w:val="center"/>
          </w:tcPr>
          <w:p w14:paraId="56A2BC37" w14:textId="01DD90E8" w:rsidR="00EF3CB4" w:rsidRDefault="00EF3CB4" w:rsidP="00F17D6F">
            <w:pPr>
              <w:spacing w:after="0"/>
              <w:jc w:val="center"/>
              <w:cnfStyle w:val="000000000000" w:firstRow="0" w:lastRow="0" w:firstColumn="0" w:lastColumn="0" w:oddVBand="0" w:evenVBand="0" w:oddHBand="0" w:evenHBand="0" w:firstRowFirstColumn="0" w:firstRowLastColumn="0" w:lastRowFirstColumn="0" w:lastRowLastColumn="0"/>
            </w:pPr>
            <w:r>
              <w:t>$2 million</w:t>
            </w:r>
          </w:p>
        </w:tc>
        <w:tc>
          <w:tcPr>
            <w:tcW w:w="1260" w:type="dxa"/>
            <w:vAlign w:val="center"/>
          </w:tcPr>
          <w:p w14:paraId="3C1B6252" w14:textId="120786B2" w:rsidR="00EF3CB4" w:rsidRDefault="00EF3CB4" w:rsidP="00F17D6F">
            <w:pPr>
              <w:spacing w:after="0"/>
              <w:jc w:val="center"/>
              <w:cnfStyle w:val="000000000000" w:firstRow="0" w:lastRow="0" w:firstColumn="0" w:lastColumn="0" w:oddVBand="0" w:evenVBand="0" w:oddHBand="0" w:evenHBand="0" w:firstRowFirstColumn="0" w:firstRowLastColumn="0" w:lastRowFirstColumn="0" w:lastRowLastColumn="0"/>
            </w:pPr>
            <w:r>
              <w:t>4%</w:t>
            </w:r>
          </w:p>
        </w:tc>
      </w:tr>
      <w:tr w:rsidR="00220CB4" w14:paraId="30E7308B" w14:textId="33053982" w:rsidTr="003B313B">
        <w:trPr>
          <w:trHeight w:val="288"/>
        </w:trPr>
        <w:tc>
          <w:tcPr>
            <w:cnfStyle w:val="001000000000" w:firstRow="0" w:lastRow="0" w:firstColumn="1" w:lastColumn="0" w:oddVBand="0" w:evenVBand="0" w:oddHBand="0" w:evenHBand="0" w:firstRowFirstColumn="0" w:firstRowLastColumn="0" w:lastRowFirstColumn="0" w:lastRowLastColumn="0"/>
            <w:tcW w:w="7190" w:type="dxa"/>
            <w:shd w:val="clear" w:color="auto" w:fill="D9D9D9" w:themeFill="background1" w:themeFillShade="D9"/>
            <w:vAlign w:val="center"/>
          </w:tcPr>
          <w:p w14:paraId="5AB92630" w14:textId="605E8B9D" w:rsidR="00220CB4" w:rsidRDefault="00220CB4" w:rsidP="00220CB4">
            <w:pPr>
              <w:spacing w:after="0"/>
            </w:pPr>
            <w:r>
              <w:t>Total Active Transportation</w:t>
            </w:r>
            <w:r w:rsidR="00736D78">
              <w:t xml:space="preserve"> Funding</w:t>
            </w:r>
          </w:p>
        </w:tc>
        <w:tc>
          <w:tcPr>
            <w:tcW w:w="1530" w:type="dxa"/>
            <w:shd w:val="clear" w:color="auto" w:fill="D9D9D9" w:themeFill="background1" w:themeFillShade="D9"/>
            <w:vAlign w:val="center"/>
          </w:tcPr>
          <w:p w14:paraId="0BFAD5C2" w14:textId="36D4C283" w:rsidR="00220CB4" w:rsidRPr="00EF3CB4" w:rsidRDefault="00220CB4" w:rsidP="00220CB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EF3CB4">
              <w:rPr>
                <w:b/>
                <w:bCs/>
              </w:rPr>
              <w:t>$50 million</w:t>
            </w:r>
          </w:p>
        </w:tc>
        <w:tc>
          <w:tcPr>
            <w:tcW w:w="1260" w:type="dxa"/>
            <w:shd w:val="clear" w:color="auto" w:fill="D9D9D9" w:themeFill="background1" w:themeFillShade="D9"/>
            <w:vAlign w:val="center"/>
          </w:tcPr>
          <w:p w14:paraId="6A7C092A" w14:textId="6F50DBA3" w:rsidR="00220CB4" w:rsidRPr="00EF3CB4" w:rsidRDefault="00220CB4" w:rsidP="00220CB4">
            <w:pPr>
              <w:spacing w:after="0"/>
              <w:jc w:val="center"/>
              <w:cnfStyle w:val="000000000000" w:firstRow="0" w:lastRow="0" w:firstColumn="0" w:lastColumn="0" w:oddVBand="0" w:evenVBand="0" w:oddHBand="0" w:evenHBand="0" w:firstRowFirstColumn="0" w:firstRowLastColumn="0" w:lastRowFirstColumn="0" w:lastRowLastColumn="0"/>
              <w:rPr>
                <w:b/>
                <w:bCs/>
              </w:rPr>
            </w:pPr>
            <w:r w:rsidRPr="00EF3CB4">
              <w:rPr>
                <w:b/>
                <w:bCs/>
              </w:rPr>
              <w:t>100%</w:t>
            </w:r>
          </w:p>
        </w:tc>
      </w:tr>
    </w:tbl>
    <w:p w14:paraId="6E6238BC" w14:textId="3CD3F501" w:rsidR="00520E64" w:rsidRDefault="2F48D0BE" w:rsidP="00105181">
      <w:pPr>
        <w:spacing w:before="120" w:after="120"/>
        <w:rPr>
          <w:b/>
          <w:bCs/>
          <w:sz w:val="16"/>
          <w:szCs w:val="16"/>
        </w:rPr>
      </w:pPr>
      <w:r>
        <w:t xml:space="preserve">Table 4 shows the minimum and maximum awards by </w:t>
      </w:r>
      <w:r w:rsidR="001C0EBD">
        <w:t>application category</w:t>
      </w:r>
      <w:r>
        <w:t xml:space="preserve">. </w:t>
      </w:r>
    </w:p>
    <w:p w14:paraId="4A7464F1" w14:textId="4CE8C8B8" w:rsidR="00E76FEE" w:rsidRDefault="2F48D0BE" w:rsidP="00520E64">
      <w:pPr>
        <w:pStyle w:val="Caption"/>
      </w:pPr>
      <w:bookmarkStart w:id="1" w:name="_Hlk67409694"/>
      <w:r>
        <w:t xml:space="preserve">Table 4: Regional Solicitation </w:t>
      </w:r>
      <w:r w:rsidR="001C0EBD">
        <w:t>Application Category</w:t>
      </w:r>
      <w:r>
        <w:t xml:space="preserve"> Minimums and Maximums</w:t>
      </w:r>
    </w:p>
    <w:tbl>
      <w:tblPr>
        <w:tblStyle w:val="MediumShading1-Accent11"/>
        <w:tblW w:w="5000" w:type="pct"/>
        <w:tblLook w:val="0620" w:firstRow="1" w:lastRow="0" w:firstColumn="0" w:lastColumn="0" w:noHBand="1" w:noVBand="1"/>
      </w:tblPr>
      <w:tblGrid>
        <w:gridCol w:w="5938"/>
        <w:gridCol w:w="2057"/>
        <w:gridCol w:w="2065"/>
      </w:tblGrid>
      <w:tr w:rsidR="00EC3F75" w:rsidRPr="00EC3F75" w14:paraId="27C58B4C" w14:textId="77777777" w:rsidTr="00EE4BEF">
        <w:trPr>
          <w:cnfStyle w:val="100000000000" w:firstRow="1" w:lastRow="0" w:firstColumn="0" w:lastColumn="0" w:oddVBand="0" w:evenVBand="0" w:oddHBand="0" w:evenHBand="0" w:firstRowFirstColumn="0" w:firstRowLastColumn="0" w:lastRowFirstColumn="0" w:lastRowLastColumn="0"/>
          <w:trHeight w:val="504"/>
        </w:trPr>
        <w:tc>
          <w:tcPr>
            <w:tcW w:w="6200" w:type="dxa"/>
            <w:vAlign w:val="center"/>
            <w:hideMark/>
          </w:tcPr>
          <w:p w14:paraId="1B43676A" w14:textId="1CB2F81F" w:rsidR="00EC3F75" w:rsidRPr="00383038" w:rsidRDefault="00220CB4" w:rsidP="00220CB4">
            <w:pPr>
              <w:spacing w:after="0"/>
              <w:rPr>
                <w:color w:val="FFFFFF" w:themeColor="background1"/>
              </w:rPr>
            </w:pPr>
            <w:r>
              <w:rPr>
                <w:color w:val="FFFFFF" w:themeColor="background1"/>
              </w:rPr>
              <w:t>Investment Areas/ Application Categories</w:t>
            </w:r>
          </w:p>
        </w:tc>
        <w:tc>
          <w:tcPr>
            <w:tcW w:w="2108" w:type="dxa"/>
            <w:hideMark/>
          </w:tcPr>
          <w:p w14:paraId="03E302C9" w14:textId="3785AB9C" w:rsidR="00EC3F75" w:rsidRPr="00383038" w:rsidRDefault="00EC3F75" w:rsidP="009E0EB0">
            <w:pPr>
              <w:spacing w:after="0"/>
              <w:jc w:val="center"/>
              <w:rPr>
                <w:color w:val="FFFFFF" w:themeColor="background1"/>
              </w:rPr>
            </w:pPr>
            <w:r>
              <w:rPr>
                <w:color w:val="FFFFFF" w:themeColor="background1"/>
              </w:rPr>
              <w:t>Minimum F</w:t>
            </w:r>
            <w:r w:rsidR="00A76C0D">
              <w:rPr>
                <w:color w:val="FFFFFF" w:themeColor="background1"/>
              </w:rPr>
              <w:t>unding</w:t>
            </w:r>
            <w:r>
              <w:rPr>
                <w:color w:val="FFFFFF" w:themeColor="background1"/>
              </w:rPr>
              <w:t xml:space="preserve"> Award</w:t>
            </w:r>
          </w:p>
        </w:tc>
        <w:tc>
          <w:tcPr>
            <w:tcW w:w="2109" w:type="dxa"/>
            <w:hideMark/>
          </w:tcPr>
          <w:p w14:paraId="36EE921E" w14:textId="4F3AFAA4" w:rsidR="00EC3F75" w:rsidRPr="00383038" w:rsidRDefault="00EC3F75" w:rsidP="009E0EB0">
            <w:pPr>
              <w:spacing w:after="0"/>
              <w:jc w:val="center"/>
              <w:rPr>
                <w:color w:val="FFFFFF" w:themeColor="background1"/>
              </w:rPr>
            </w:pPr>
            <w:r>
              <w:rPr>
                <w:color w:val="FFFFFF" w:themeColor="background1"/>
              </w:rPr>
              <w:t>Maximum F</w:t>
            </w:r>
            <w:r w:rsidR="00A76C0D">
              <w:rPr>
                <w:color w:val="FFFFFF" w:themeColor="background1"/>
              </w:rPr>
              <w:t>unding</w:t>
            </w:r>
            <w:r>
              <w:rPr>
                <w:color w:val="FFFFFF" w:themeColor="background1"/>
              </w:rPr>
              <w:t xml:space="preserve"> Award</w:t>
            </w:r>
          </w:p>
        </w:tc>
      </w:tr>
      <w:tr w:rsidR="00EC3F75" w:rsidRPr="00EC3F75" w14:paraId="6553A0F2" w14:textId="77777777" w:rsidTr="00EE4BEF">
        <w:trPr>
          <w:trHeight w:val="288"/>
        </w:trPr>
        <w:tc>
          <w:tcPr>
            <w:tcW w:w="6200" w:type="dxa"/>
            <w:shd w:val="clear" w:color="auto" w:fill="DBE5F1" w:themeFill="accent1" w:themeFillTint="33"/>
            <w:vAlign w:val="center"/>
            <w:hideMark/>
          </w:tcPr>
          <w:p w14:paraId="7EA1B149" w14:textId="77777777" w:rsidR="00EC3F75" w:rsidRPr="00383038" w:rsidRDefault="00EC3F75" w:rsidP="00383038">
            <w:pPr>
              <w:spacing w:after="0"/>
              <w:rPr>
                <w:b/>
                <w:bCs/>
              </w:rPr>
            </w:pPr>
            <w:r w:rsidRPr="00383038">
              <w:rPr>
                <w:b/>
                <w:bCs/>
              </w:rPr>
              <w:t>Safety</w:t>
            </w:r>
          </w:p>
        </w:tc>
        <w:tc>
          <w:tcPr>
            <w:tcW w:w="2108" w:type="dxa"/>
            <w:shd w:val="clear" w:color="auto" w:fill="DBE5F1" w:themeFill="accent1" w:themeFillTint="33"/>
            <w:vAlign w:val="center"/>
            <w:hideMark/>
          </w:tcPr>
          <w:p w14:paraId="1C1B340F" w14:textId="77777777" w:rsidR="00EC3F75" w:rsidRPr="00EC3F75" w:rsidRDefault="00EC3F75" w:rsidP="009E0EB0">
            <w:pPr>
              <w:spacing w:after="0"/>
              <w:jc w:val="center"/>
            </w:pPr>
          </w:p>
        </w:tc>
        <w:tc>
          <w:tcPr>
            <w:tcW w:w="2109" w:type="dxa"/>
            <w:shd w:val="clear" w:color="auto" w:fill="DBE5F1" w:themeFill="accent1" w:themeFillTint="33"/>
            <w:vAlign w:val="center"/>
            <w:hideMark/>
          </w:tcPr>
          <w:p w14:paraId="5AA8E4B6" w14:textId="77777777" w:rsidR="00EC3F75" w:rsidRPr="00EC3F75" w:rsidRDefault="00EC3F75" w:rsidP="009E0EB0">
            <w:pPr>
              <w:spacing w:after="0"/>
              <w:jc w:val="center"/>
            </w:pPr>
          </w:p>
        </w:tc>
      </w:tr>
      <w:tr w:rsidR="00EC3F75" w:rsidRPr="00EC3F75" w14:paraId="3E5A935F" w14:textId="77777777" w:rsidTr="00EE4BEF">
        <w:trPr>
          <w:trHeight w:val="288"/>
        </w:trPr>
        <w:tc>
          <w:tcPr>
            <w:tcW w:w="6200" w:type="dxa"/>
            <w:vAlign w:val="center"/>
            <w:hideMark/>
          </w:tcPr>
          <w:p w14:paraId="23933B8A" w14:textId="15588A4B" w:rsidR="00EC3F75" w:rsidRPr="00EC3F75" w:rsidRDefault="00EC3F75" w:rsidP="00383038">
            <w:pPr>
              <w:spacing w:after="0"/>
            </w:pPr>
            <w:r w:rsidRPr="00EC3F75">
              <w:t>Proactive</w:t>
            </w:r>
            <w:r w:rsidR="00220CB4">
              <w:t xml:space="preserve"> Safety</w:t>
            </w:r>
          </w:p>
        </w:tc>
        <w:tc>
          <w:tcPr>
            <w:tcW w:w="2108" w:type="dxa"/>
            <w:vAlign w:val="center"/>
            <w:hideMark/>
          </w:tcPr>
          <w:p w14:paraId="625FED14" w14:textId="0229965D" w:rsidR="00EC3F75" w:rsidRPr="00EC3F75" w:rsidRDefault="00EC3F75" w:rsidP="009E0EB0">
            <w:pPr>
              <w:spacing w:after="0"/>
              <w:jc w:val="center"/>
            </w:pPr>
            <w:r w:rsidRPr="00EC3F75">
              <w:t>$2,000,000</w:t>
            </w:r>
          </w:p>
        </w:tc>
        <w:tc>
          <w:tcPr>
            <w:tcW w:w="2109" w:type="dxa"/>
            <w:vAlign w:val="center"/>
            <w:hideMark/>
          </w:tcPr>
          <w:p w14:paraId="15171134" w14:textId="107A1D11" w:rsidR="00EC3F75" w:rsidRPr="00EC3F75" w:rsidRDefault="00EC3F75" w:rsidP="009E0EB0">
            <w:pPr>
              <w:spacing w:after="0"/>
              <w:jc w:val="center"/>
            </w:pPr>
            <w:r w:rsidRPr="00EC3F75">
              <w:t>$7,000,000</w:t>
            </w:r>
          </w:p>
        </w:tc>
      </w:tr>
      <w:tr w:rsidR="00220CB4" w:rsidRPr="00EC3F75" w14:paraId="5E0C9D80" w14:textId="77777777" w:rsidTr="00EE4BEF">
        <w:trPr>
          <w:trHeight w:val="288"/>
        </w:trPr>
        <w:tc>
          <w:tcPr>
            <w:tcW w:w="6200" w:type="dxa"/>
            <w:vAlign w:val="center"/>
          </w:tcPr>
          <w:p w14:paraId="1CF6F145" w14:textId="75B91C24" w:rsidR="00220CB4" w:rsidRPr="00EC3F75" w:rsidRDefault="00220CB4" w:rsidP="00220CB4">
            <w:pPr>
              <w:spacing w:after="0"/>
            </w:pPr>
            <w:r w:rsidRPr="00EC3F75">
              <w:t>Reactive Safety</w:t>
            </w:r>
          </w:p>
        </w:tc>
        <w:tc>
          <w:tcPr>
            <w:tcW w:w="2108" w:type="dxa"/>
            <w:vAlign w:val="center"/>
          </w:tcPr>
          <w:p w14:paraId="4892A2DB" w14:textId="4D1E245E" w:rsidR="00220CB4" w:rsidRPr="00EC3F75" w:rsidRDefault="00220CB4" w:rsidP="00220CB4">
            <w:pPr>
              <w:spacing w:after="0"/>
              <w:jc w:val="center"/>
            </w:pPr>
            <w:r w:rsidRPr="00EC3F75">
              <w:t>$2,000,000</w:t>
            </w:r>
          </w:p>
        </w:tc>
        <w:tc>
          <w:tcPr>
            <w:tcW w:w="2109" w:type="dxa"/>
            <w:vAlign w:val="center"/>
          </w:tcPr>
          <w:p w14:paraId="3C7E8DA4" w14:textId="18661839" w:rsidR="00220CB4" w:rsidRPr="00EC3F75" w:rsidRDefault="00220CB4" w:rsidP="00220CB4">
            <w:pPr>
              <w:spacing w:after="0"/>
              <w:jc w:val="center"/>
            </w:pPr>
            <w:r w:rsidRPr="00EC3F75">
              <w:t>$7,000,000</w:t>
            </w:r>
          </w:p>
        </w:tc>
      </w:tr>
      <w:tr w:rsidR="00220CB4" w:rsidRPr="00EC3F75" w14:paraId="6C16AA98" w14:textId="77777777" w:rsidTr="00EE4BEF">
        <w:trPr>
          <w:trHeight w:val="288"/>
        </w:trPr>
        <w:tc>
          <w:tcPr>
            <w:tcW w:w="6200" w:type="dxa"/>
            <w:shd w:val="clear" w:color="auto" w:fill="DBE5F1" w:themeFill="accent1" w:themeFillTint="33"/>
            <w:vAlign w:val="center"/>
            <w:hideMark/>
          </w:tcPr>
          <w:p w14:paraId="55BC1246" w14:textId="77777777" w:rsidR="00220CB4" w:rsidRPr="00383038" w:rsidRDefault="00220CB4" w:rsidP="00220CB4">
            <w:pPr>
              <w:spacing w:after="0"/>
              <w:rPr>
                <w:b/>
                <w:bCs/>
              </w:rPr>
            </w:pPr>
            <w:r w:rsidRPr="00383038">
              <w:rPr>
                <w:b/>
                <w:bCs/>
              </w:rPr>
              <w:t>Roadway</w:t>
            </w:r>
          </w:p>
        </w:tc>
        <w:tc>
          <w:tcPr>
            <w:tcW w:w="2108" w:type="dxa"/>
            <w:shd w:val="clear" w:color="auto" w:fill="DBE5F1" w:themeFill="accent1" w:themeFillTint="33"/>
            <w:vAlign w:val="center"/>
            <w:hideMark/>
          </w:tcPr>
          <w:p w14:paraId="2B15F5E0" w14:textId="77777777" w:rsidR="00220CB4" w:rsidRPr="00EC3F75" w:rsidRDefault="00220CB4" w:rsidP="00220CB4">
            <w:pPr>
              <w:spacing w:after="0"/>
              <w:jc w:val="center"/>
            </w:pPr>
          </w:p>
        </w:tc>
        <w:tc>
          <w:tcPr>
            <w:tcW w:w="2109" w:type="dxa"/>
            <w:shd w:val="clear" w:color="auto" w:fill="DBE5F1" w:themeFill="accent1" w:themeFillTint="33"/>
            <w:vAlign w:val="center"/>
            <w:hideMark/>
          </w:tcPr>
          <w:p w14:paraId="0486622D" w14:textId="77777777" w:rsidR="00220CB4" w:rsidRPr="00EC3F75" w:rsidRDefault="00220CB4" w:rsidP="00220CB4">
            <w:pPr>
              <w:spacing w:after="0"/>
              <w:jc w:val="center"/>
            </w:pPr>
          </w:p>
        </w:tc>
      </w:tr>
      <w:tr w:rsidR="00220CB4" w:rsidRPr="00EC3F75" w14:paraId="151E1A36" w14:textId="77777777" w:rsidTr="00EE4BEF">
        <w:trPr>
          <w:trHeight w:val="288"/>
        </w:trPr>
        <w:tc>
          <w:tcPr>
            <w:tcW w:w="6200" w:type="dxa"/>
            <w:vAlign w:val="center"/>
            <w:hideMark/>
          </w:tcPr>
          <w:p w14:paraId="7CBB5580" w14:textId="1FE389FA" w:rsidR="00220CB4" w:rsidRPr="00EC3F75" w:rsidRDefault="00220CB4" w:rsidP="00220CB4">
            <w:pPr>
              <w:spacing w:after="0"/>
            </w:pPr>
            <w:r w:rsidRPr="00EC3F75">
              <w:t>Congestion Management Strategies</w:t>
            </w:r>
          </w:p>
        </w:tc>
        <w:tc>
          <w:tcPr>
            <w:tcW w:w="2108" w:type="dxa"/>
            <w:vAlign w:val="center"/>
            <w:hideMark/>
          </w:tcPr>
          <w:p w14:paraId="39CC0D28" w14:textId="37B9E042" w:rsidR="00220CB4" w:rsidRPr="00EC3F75" w:rsidRDefault="00220CB4" w:rsidP="00220CB4">
            <w:pPr>
              <w:spacing w:after="0"/>
              <w:jc w:val="center"/>
            </w:pPr>
            <w:r w:rsidRPr="00EC3F75">
              <w:t>$1,000,000</w:t>
            </w:r>
          </w:p>
        </w:tc>
        <w:tc>
          <w:tcPr>
            <w:tcW w:w="2109" w:type="dxa"/>
            <w:vAlign w:val="center"/>
            <w:hideMark/>
          </w:tcPr>
          <w:p w14:paraId="64218288" w14:textId="70DD0E9A" w:rsidR="00220CB4" w:rsidRPr="00EC3F75" w:rsidRDefault="00220CB4" w:rsidP="00220CB4">
            <w:pPr>
              <w:spacing w:after="0"/>
              <w:jc w:val="center"/>
            </w:pPr>
            <w:r w:rsidRPr="00EC3F75">
              <w:t>$10,000,000</w:t>
            </w:r>
          </w:p>
        </w:tc>
      </w:tr>
      <w:tr w:rsidR="00220CB4" w:rsidRPr="00EC3F75" w14:paraId="4110A6EE" w14:textId="77777777" w:rsidTr="00EE4BEF">
        <w:trPr>
          <w:trHeight w:val="288"/>
        </w:trPr>
        <w:tc>
          <w:tcPr>
            <w:tcW w:w="6200" w:type="dxa"/>
            <w:vAlign w:val="center"/>
            <w:hideMark/>
          </w:tcPr>
          <w:p w14:paraId="3CAE4262" w14:textId="743E1E03" w:rsidR="00220CB4" w:rsidRPr="00EC3F75" w:rsidRDefault="00220CB4" w:rsidP="00220CB4">
            <w:pPr>
              <w:spacing w:after="0"/>
            </w:pPr>
            <w:r>
              <w:t>New Interchanges</w:t>
            </w:r>
          </w:p>
        </w:tc>
        <w:tc>
          <w:tcPr>
            <w:tcW w:w="2108" w:type="dxa"/>
            <w:vAlign w:val="center"/>
            <w:hideMark/>
          </w:tcPr>
          <w:p w14:paraId="04358312" w14:textId="6B8626D9" w:rsidR="00220CB4" w:rsidRPr="00EC3F75" w:rsidRDefault="00220CB4" w:rsidP="00220CB4">
            <w:pPr>
              <w:spacing w:after="0"/>
              <w:jc w:val="center"/>
            </w:pPr>
            <w:r w:rsidRPr="00EC3F75">
              <w:t>$1,000,000</w:t>
            </w:r>
          </w:p>
        </w:tc>
        <w:tc>
          <w:tcPr>
            <w:tcW w:w="2109" w:type="dxa"/>
            <w:vAlign w:val="center"/>
            <w:hideMark/>
          </w:tcPr>
          <w:p w14:paraId="13F1F85F" w14:textId="148D4B3F" w:rsidR="00220CB4" w:rsidRPr="00EC3F75" w:rsidRDefault="00220CB4" w:rsidP="00220CB4">
            <w:pPr>
              <w:spacing w:after="0"/>
              <w:jc w:val="center"/>
            </w:pPr>
            <w:r w:rsidRPr="00EC3F75">
              <w:t>$20,000,000</w:t>
            </w:r>
          </w:p>
        </w:tc>
      </w:tr>
      <w:tr w:rsidR="00220CB4" w:rsidRPr="00EC3F75" w14:paraId="197DE1E4" w14:textId="77777777" w:rsidTr="00EE4BEF">
        <w:trPr>
          <w:trHeight w:val="288"/>
        </w:trPr>
        <w:tc>
          <w:tcPr>
            <w:tcW w:w="6200" w:type="dxa"/>
            <w:vAlign w:val="center"/>
            <w:hideMark/>
          </w:tcPr>
          <w:p w14:paraId="3562E01C" w14:textId="77777777" w:rsidR="00220CB4" w:rsidRPr="00EC3F75" w:rsidRDefault="00220CB4" w:rsidP="00220CB4">
            <w:pPr>
              <w:spacing w:after="0"/>
            </w:pPr>
            <w:r w:rsidRPr="00EC3F75">
              <w:t>Roadway Modernization</w:t>
            </w:r>
          </w:p>
        </w:tc>
        <w:tc>
          <w:tcPr>
            <w:tcW w:w="2108" w:type="dxa"/>
            <w:vAlign w:val="center"/>
            <w:hideMark/>
          </w:tcPr>
          <w:p w14:paraId="2D3C5216" w14:textId="0B8C5F78" w:rsidR="00220CB4" w:rsidRPr="00EC3F75" w:rsidRDefault="00220CB4" w:rsidP="00220CB4">
            <w:pPr>
              <w:spacing w:after="0"/>
              <w:jc w:val="center"/>
            </w:pPr>
            <w:r w:rsidRPr="00EC3F75">
              <w:t>$1,000,000</w:t>
            </w:r>
          </w:p>
        </w:tc>
        <w:tc>
          <w:tcPr>
            <w:tcW w:w="2109" w:type="dxa"/>
            <w:vAlign w:val="center"/>
            <w:hideMark/>
          </w:tcPr>
          <w:p w14:paraId="7E25ED81" w14:textId="23373F2F" w:rsidR="00220CB4" w:rsidRPr="00EC3F75" w:rsidRDefault="00220CB4" w:rsidP="00220CB4">
            <w:pPr>
              <w:spacing w:after="0"/>
              <w:jc w:val="center"/>
            </w:pPr>
            <w:r w:rsidRPr="00EC3F75">
              <w:t>$10,000,000</w:t>
            </w:r>
          </w:p>
        </w:tc>
      </w:tr>
      <w:tr w:rsidR="00220CB4" w:rsidRPr="00EC3F75" w14:paraId="56DF67B1" w14:textId="77777777" w:rsidTr="00EE4BEF">
        <w:trPr>
          <w:trHeight w:val="288"/>
        </w:trPr>
        <w:tc>
          <w:tcPr>
            <w:tcW w:w="6200" w:type="dxa"/>
            <w:vAlign w:val="center"/>
            <w:hideMark/>
          </w:tcPr>
          <w:p w14:paraId="329D7C59" w14:textId="77777777" w:rsidR="00220CB4" w:rsidRPr="00EC3F75" w:rsidRDefault="00220CB4" w:rsidP="00220CB4">
            <w:pPr>
              <w:spacing w:after="0"/>
            </w:pPr>
            <w:r w:rsidRPr="00EC3F75">
              <w:t>Bridge Connections</w:t>
            </w:r>
          </w:p>
        </w:tc>
        <w:tc>
          <w:tcPr>
            <w:tcW w:w="2108" w:type="dxa"/>
            <w:vAlign w:val="center"/>
            <w:hideMark/>
          </w:tcPr>
          <w:p w14:paraId="5EB8240B" w14:textId="197FB795" w:rsidR="00220CB4" w:rsidRPr="00EC3F75" w:rsidRDefault="00220CB4" w:rsidP="00220CB4">
            <w:pPr>
              <w:spacing w:after="0"/>
              <w:jc w:val="center"/>
            </w:pPr>
            <w:r w:rsidRPr="00EC3F75">
              <w:t>$1,000,000</w:t>
            </w:r>
          </w:p>
        </w:tc>
        <w:tc>
          <w:tcPr>
            <w:tcW w:w="2109" w:type="dxa"/>
            <w:vAlign w:val="center"/>
            <w:hideMark/>
          </w:tcPr>
          <w:p w14:paraId="594B9F4C" w14:textId="53B289DF" w:rsidR="00220CB4" w:rsidRPr="00EC3F75" w:rsidRDefault="00220CB4" w:rsidP="00220CB4">
            <w:pPr>
              <w:spacing w:after="0"/>
              <w:jc w:val="center"/>
            </w:pPr>
            <w:r w:rsidRPr="00EC3F75">
              <w:t>$7,000,000</w:t>
            </w:r>
          </w:p>
        </w:tc>
      </w:tr>
      <w:tr w:rsidR="00220CB4" w:rsidRPr="00EC3F75" w14:paraId="5A8B01CC" w14:textId="77777777" w:rsidTr="00EE4BEF">
        <w:trPr>
          <w:trHeight w:val="288"/>
        </w:trPr>
        <w:tc>
          <w:tcPr>
            <w:tcW w:w="6200" w:type="dxa"/>
            <w:shd w:val="clear" w:color="auto" w:fill="DBE5F1" w:themeFill="accent1" w:themeFillTint="33"/>
            <w:vAlign w:val="center"/>
            <w:hideMark/>
          </w:tcPr>
          <w:p w14:paraId="7A243DCD" w14:textId="77777777" w:rsidR="00220CB4" w:rsidRPr="00383038" w:rsidRDefault="00220CB4" w:rsidP="00220CB4">
            <w:pPr>
              <w:spacing w:after="0"/>
              <w:rPr>
                <w:b/>
                <w:bCs/>
              </w:rPr>
            </w:pPr>
            <w:r w:rsidRPr="00383038">
              <w:rPr>
                <w:b/>
                <w:bCs/>
              </w:rPr>
              <w:t>Transit</w:t>
            </w:r>
          </w:p>
        </w:tc>
        <w:tc>
          <w:tcPr>
            <w:tcW w:w="2108" w:type="dxa"/>
            <w:shd w:val="clear" w:color="auto" w:fill="DBE5F1" w:themeFill="accent1" w:themeFillTint="33"/>
            <w:vAlign w:val="center"/>
            <w:hideMark/>
          </w:tcPr>
          <w:p w14:paraId="5B63D1DD" w14:textId="77777777" w:rsidR="00220CB4" w:rsidRPr="00EC3F75" w:rsidRDefault="00220CB4" w:rsidP="00220CB4">
            <w:pPr>
              <w:spacing w:after="0"/>
              <w:jc w:val="center"/>
            </w:pPr>
          </w:p>
        </w:tc>
        <w:tc>
          <w:tcPr>
            <w:tcW w:w="2109" w:type="dxa"/>
            <w:shd w:val="clear" w:color="auto" w:fill="DBE5F1" w:themeFill="accent1" w:themeFillTint="33"/>
            <w:vAlign w:val="center"/>
            <w:hideMark/>
          </w:tcPr>
          <w:p w14:paraId="1F76F6CF" w14:textId="77777777" w:rsidR="00220CB4" w:rsidRPr="00EC3F75" w:rsidRDefault="00220CB4" w:rsidP="00220CB4">
            <w:pPr>
              <w:spacing w:after="0"/>
              <w:jc w:val="center"/>
            </w:pPr>
          </w:p>
        </w:tc>
      </w:tr>
      <w:tr w:rsidR="00220CB4" w:rsidRPr="00EC3F75" w14:paraId="2E4ABC8B" w14:textId="77777777" w:rsidTr="00EE4BEF">
        <w:trPr>
          <w:trHeight w:val="288"/>
        </w:trPr>
        <w:tc>
          <w:tcPr>
            <w:tcW w:w="6200" w:type="dxa"/>
            <w:vAlign w:val="center"/>
            <w:hideMark/>
          </w:tcPr>
          <w:p w14:paraId="6374899E" w14:textId="77777777" w:rsidR="00220CB4" w:rsidRPr="00EC3F75" w:rsidRDefault="00220CB4" w:rsidP="00220CB4">
            <w:pPr>
              <w:spacing w:after="0"/>
            </w:pPr>
            <w:r w:rsidRPr="00EC3F75">
              <w:t>Transit Expansion</w:t>
            </w:r>
          </w:p>
        </w:tc>
        <w:tc>
          <w:tcPr>
            <w:tcW w:w="2108" w:type="dxa"/>
            <w:vAlign w:val="center"/>
            <w:hideMark/>
          </w:tcPr>
          <w:p w14:paraId="08D055E9" w14:textId="03601971" w:rsidR="00220CB4" w:rsidRPr="00EC3F75" w:rsidRDefault="00220CB4" w:rsidP="00220CB4">
            <w:pPr>
              <w:spacing w:after="0"/>
              <w:jc w:val="center"/>
            </w:pPr>
            <w:r w:rsidRPr="00EC3F75">
              <w:t>$500,000</w:t>
            </w:r>
          </w:p>
        </w:tc>
        <w:tc>
          <w:tcPr>
            <w:tcW w:w="2109" w:type="dxa"/>
            <w:vAlign w:val="center"/>
            <w:hideMark/>
          </w:tcPr>
          <w:p w14:paraId="3B7C7827" w14:textId="18BCA6F8" w:rsidR="00220CB4" w:rsidRPr="00EC3F75" w:rsidRDefault="00220CB4" w:rsidP="00220CB4">
            <w:pPr>
              <w:spacing w:after="0"/>
              <w:jc w:val="center"/>
            </w:pPr>
            <w:r w:rsidRPr="00EC3F75">
              <w:t>$10,000,000</w:t>
            </w:r>
          </w:p>
        </w:tc>
      </w:tr>
      <w:tr w:rsidR="00220CB4" w:rsidRPr="00EC3F75" w14:paraId="61C5EEAE" w14:textId="77777777" w:rsidTr="00EE4BEF">
        <w:trPr>
          <w:trHeight w:val="288"/>
        </w:trPr>
        <w:tc>
          <w:tcPr>
            <w:tcW w:w="6200" w:type="dxa"/>
            <w:vAlign w:val="center"/>
            <w:hideMark/>
          </w:tcPr>
          <w:p w14:paraId="4ABFCC59" w14:textId="77777777" w:rsidR="00220CB4" w:rsidRPr="00EC3F75" w:rsidRDefault="00220CB4" w:rsidP="00220CB4">
            <w:pPr>
              <w:spacing w:after="0"/>
            </w:pPr>
            <w:r w:rsidRPr="00EC3F75">
              <w:t>Transit Customer Experience</w:t>
            </w:r>
          </w:p>
        </w:tc>
        <w:tc>
          <w:tcPr>
            <w:tcW w:w="2108" w:type="dxa"/>
            <w:vAlign w:val="center"/>
            <w:hideMark/>
          </w:tcPr>
          <w:p w14:paraId="3B0F52B1" w14:textId="185E444C" w:rsidR="00220CB4" w:rsidRPr="00EC3F75" w:rsidRDefault="00220CB4" w:rsidP="00220CB4">
            <w:pPr>
              <w:spacing w:after="0"/>
              <w:jc w:val="center"/>
            </w:pPr>
            <w:r w:rsidRPr="00EC3F75">
              <w:t>$500,000</w:t>
            </w:r>
          </w:p>
        </w:tc>
        <w:tc>
          <w:tcPr>
            <w:tcW w:w="2109" w:type="dxa"/>
            <w:vAlign w:val="center"/>
            <w:hideMark/>
          </w:tcPr>
          <w:p w14:paraId="55E41A67" w14:textId="736EE708" w:rsidR="00220CB4" w:rsidRPr="00EC3F75" w:rsidRDefault="00220CB4" w:rsidP="00220CB4">
            <w:pPr>
              <w:spacing w:after="0"/>
              <w:jc w:val="center"/>
            </w:pPr>
            <w:r w:rsidRPr="00EC3F75">
              <w:t>$10,000,000</w:t>
            </w:r>
          </w:p>
        </w:tc>
      </w:tr>
      <w:tr w:rsidR="00220CB4" w:rsidRPr="00EC3F75" w14:paraId="2E131818" w14:textId="77777777" w:rsidTr="00EE4BEF">
        <w:trPr>
          <w:trHeight w:val="288"/>
        </w:trPr>
        <w:tc>
          <w:tcPr>
            <w:tcW w:w="6200" w:type="dxa"/>
            <w:shd w:val="clear" w:color="auto" w:fill="DBE5F1" w:themeFill="accent1" w:themeFillTint="33"/>
            <w:vAlign w:val="center"/>
            <w:hideMark/>
          </w:tcPr>
          <w:p w14:paraId="7BA063B8" w14:textId="79FC6AFF" w:rsidR="00220CB4" w:rsidRPr="00383038" w:rsidRDefault="00220CB4" w:rsidP="00220CB4">
            <w:pPr>
              <w:spacing w:after="0"/>
              <w:rPr>
                <w:b/>
                <w:bCs/>
              </w:rPr>
            </w:pPr>
            <w:r w:rsidRPr="00383038">
              <w:rPr>
                <w:b/>
                <w:bCs/>
              </w:rPr>
              <w:t>Bi</w:t>
            </w:r>
            <w:r>
              <w:rPr>
                <w:b/>
                <w:bCs/>
              </w:rPr>
              <w:t>cycle</w:t>
            </w:r>
            <w:r w:rsidRPr="00383038">
              <w:rPr>
                <w:b/>
                <w:bCs/>
              </w:rPr>
              <w:t>/Ped</w:t>
            </w:r>
            <w:r>
              <w:rPr>
                <w:b/>
                <w:bCs/>
              </w:rPr>
              <w:t>estrian</w:t>
            </w:r>
          </w:p>
        </w:tc>
        <w:tc>
          <w:tcPr>
            <w:tcW w:w="2108" w:type="dxa"/>
            <w:shd w:val="clear" w:color="auto" w:fill="DBE5F1" w:themeFill="accent1" w:themeFillTint="33"/>
            <w:vAlign w:val="center"/>
            <w:hideMark/>
          </w:tcPr>
          <w:p w14:paraId="531E8699" w14:textId="77777777" w:rsidR="00220CB4" w:rsidRPr="00EC3F75" w:rsidRDefault="00220CB4" w:rsidP="00220CB4">
            <w:pPr>
              <w:spacing w:after="0"/>
              <w:jc w:val="center"/>
            </w:pPr>
          </w:p>
        </w:tc>
        <w:tc>
          <w:tcPr>
            <w:tcW w:w="2109" w:type="dxa"/>
            <w:shd w:val="clear" w:color="auto" w:fill="DBE5F1" w:themeFill="accent1" w:themeFillTint="33"/>
            <w:vAlign w:val="center"/>
            <w:hideMark/>
          </w:tcPr>
          <w:p w14:paraId="551E860E" w14:textId="77777777" w:rsidR="00220CB4" w:rsidRPr="00EC3F75" w:rsidRDefault="00220CB4" w:rsidP="00220CB4">
            <w:pPr>
              <w:spacing w:after="0"/>
              <w:jc w:val="center"/>
            </w:pPr>
          </w:p>
        </w:tc>
      </w:tr>
      <w:tr w:rsidR="00220CB4" w:rsidRPr="00EC3F75" w14:paraId="0D0E20CA" w14:textId="77777777" w:rsidTr="00EE4BEF">
        <w:trPr>
          <w:trHeight w:val="288"/>
        </w:trPr>
        <w:tc>
          <w:tcPr>
            <w:tcW w:w="6200" w:type="dxa"/>
            <w:vAlign w:val="center"/>
            <w:hideMark/>
          </w:tcPr>
          <w:p w14:paraId="7FB373B8" w14:textId="77777777" w:rsidR="00220CB4" w:rsidRPr="00EC3F75" w:rsidRDefault="00220CB4" w:rsidP="00220CB4">
            <w:pPr>
              <w:spacing w:after="0"/>
            </w:pPr>
            <w:r w:rsidRPr="00EC3F75">
              <w:t>Regional Bike Facilities</w:t>
            </w:r>
          </w:p>
        </w:tc>
        <w:tc>
          <w:tcPr>
            <w:tcW w:w="2108" w:type="dxa"/>
            <w:vAlign w:val="center"/>
            <w:hideMark/>
          </w:tcPr>
          <w:p w14:paraId="226B63CA" w14:textId="00A20C6E" w:rsidR="00220CB4" w:rsidRPr="00EC3F75" w:rsidRDefault="00220CB4" w:rsidP="00220CB4">
            <w:pPr>
              <w:spacing w:after="0"/>
              <w:jc w:val="center"/>
            </w:pPr>
            <w:r w:rsidRPr="00EC3F75">
              <w:t>$1,000,000</w:t>
            </w:r>
          </w:p>
        </w:tc>
        <w:tc>
          <w:tcPr>
            <w:tcW w:w="2109" w:type="dxa"/>
            <w:vAlign w:val="center"/>
            <w:hideMark/>
          </w:tcPr>
          <w:p w14:paraId="0CE00CEF" w14:textId="63C38870" w:rsidR="00220CB4" w:rsidRPr="00EC3F75" w:rsidRDefault="00220CB4" w:rsidP="00220CB4">
            <w:pPr>
              <w:spacing w:after="0"/>
              <w:jc w:val="center"/>
            </w:pPr>
            <w:r w:rsidRPr="00EC3F75">
              <w:t>$5,500,000</w:t>
            </w:r>
          </w:p>
        </w:tc>
      </w:tr>
      <w:tr w:rsidR="00220CB4" w:rsidRPr="00EC3F75" w14:paraId="32878ED8" w14:textId="77777777" w:rsidTr="00EE4BEF">
        <w:trPr>
          <w:trHeight w:val="288"/>
        </w:trPr>
        <w:tc>
          <w:tcPr>
            <w:tcW w:w="6200" w:type="dxa"/>
            <w:vAlign w:val="center"/>
            <w:hideMark/>
          </w:tcPr>
          <w:p w14:paraId="0BEE5993" w14:textId="0D5A809F" w:rsidR="00220CB4" w:rsidRPr="00EC3F75" w:rsidRDefault="00220CB4" w:rsidP="00220CB4">
            <w:pPr>
              <w:spacing w:after="0"/>
            </w:pPr>
            <w:r w:rsidRPr="00EC3F75">
              <w:t>Local Bike Facilities (</w:t>
            </w:r>
            <w:r>
              <w:t>Regional</w:t>
            </w:r>
            <w:r w:rsidRPr="00EC3F75">
              <w:t xml:space="preserve"> Funding)</w:t>
            </w:r>
          </w:p>
        </w:tc>
        <w:tc>
          <w:tcPr>
            <w:tcW w:w="2108" w:type="dxa"/>
            <w:vAlign w:val="center"/>
            <w:hideMark/>
          </w:tcPr>
          <w:p w14:paraId="51EF107A" w14:textId="5F561E88" w:rsidR="00220CB4" w:rsidRPr="00EC3F75" w:rsidRDefault="00220CB4" w:rsidP="00220CB4">
            <w:pPr>
              <w:spacing w:after="0"/>
              <w:jc w:val="center"/>
            </w:pPr>
            <w:r w:rsidRPr="00EC3F75">
              <w:t>$150,000</w:t>
            </w:r>
          </w:p>
        </w:tc>
        <w:tc>
          <w:tcPr>
            <w:tcW w:w="2109" w:type="dxa"/>
            <w:vAlign w:val="center"/>
            <w:hideMark/>
          </w:tcPr>
          <w:p w14:paraId="5B57FB60" w14:textId="05DE37A7" w:rsidR="00220CB4" w:rsidRPr="00EC3F75" w:rsidRDefault="00220CB4" w:rsidP="00220CB4">
            <w:pPr>
              <w:spacing w:after="0"/>
              <w:jc w:val="center"/>
            </w:pPr>
            <w:r w:rsidRPr="00EC3F75">
              <w:t>$3,500,000</w:t>
            </w:r>
          </w:p>
        </w:tc>
      </w:tr>
      <w:tr w:rsidR="00220CB4" w:rsidRPr="00EC3F75" w14:paraId="56EAF034" w14:textId="77777777" w:rsidTr="00EE4BEF">
        <w:trPr>
          <w:trHeight w:val="288"/>
        </w:trPr>
        <w:tc>
          <w:tcPr>
            <w:tcW w:w="6200" w:type="dxa"/>
            <w:vAlign w:val="center"/>
            <w:hideMark/>
          </w:tcPr>
          <w:p w14:paraId="6D8A8757" w14:textId="06F4A67F" w:rsidR="00220CB4" w:rsidRPr="00EC3F75" w:rsidRDefault="00220CB4" w:rsidP="00220CB4">
            <w:pPr>
              <w:spacing w:after="0"/>
            </w:pPr>
            <w:r w:rsidRPr="00EC3F75">
              <w:lastRenderedPageBreak/>
              <w:t>Local Pedestrian Facilities (</w:t>
            </w:r>
            <w:r>
              <w:t>Regiona</w:t>
            </w:r>
            <w:r w:rsidRPr="00EC3F75">
              <w:t>l Funding)</w:t>
            </w:r>
          </w:p>
        </w:tc>
        <w:tc>
          <w:tcPr>
            <w:tcW w:w="2108" w:type="dxa"/>
            <w:vAlign w:val="center"/>
            <w:hideMark/>
          </w:tcPr>
          <w:p w14:paraId="7676FBA1" w14:textId="3909B8E4" w:rsidR="00220CB4" w:rsidRPr="00EC3F75" w:rsidRDefault="00220CB4" w:rsidP="00220CB4">
            <w:pPr>
              <w:spacing w:after="0"/>
              <w:jc w:val="center"/>
            </w:pPr>
            <w:r w:rsidRPr="00EC3F75">
              <w:t>$150,000</w:t>
            </w:r>
          </w:p>
        </w:tc>
        <w:tc>
          <w:tcPr>
            <w:tcW w:w="2109" w:type="dxa"/>
            <w:vAlign w:val="center"/>
            <w:hideMark/>
          </w:tcPr>
          <w:p w14:paraId="4DA04666" w14:textId="4506D7A6" w:rsidR="00220CB4" w:rsidRPr="00EC3F75" w:rsidRDefault="00220CB4" w:rsidP="00220CB4">
            <w:pPr>
              <w:spacing w:after="0"/>
              <w:jc w:val="center"/>
            </w:pPr>
            <w:r w:rsidRPr="00EC3F75">
              <w:t>$2,500,000</w:t>
            </w:r>
          </w:p>
        </w:tc>
      </w:tr>
      <w:tr w:rsidR="00220CB4" w:rsidRPr="00EC3F75" w14:paraId="41BD8ADD" w14:textId="77777777" w:rsidTr="00EE4BEF">
        <w:trPr>
          <w:trHeight w:val="288"/>
        </w:trPr>
        <w:tc>
          <w:tcPr>
            <w:tcW w:w="6200" w:type="dxa"/>
            <w:vAlign w:val="center"/>
            <w:hideMark/>
          </w:tcPr>
          <w:p w14:paraId="68C3A2CD" w14:textId="2F01B2DF" w:rsidR="00220CB4" w:rsidRPr="00EC3F75" w:rsidRDefault="00220CB4" w:rsidP="00220CB4">
            <w:pPr>
              <w:spacing w:after="0"/>
            </w:pPr>
            <w:r w:rsidRPr="00EC3F75">
              <w:t>Active Transportation Planning (</w:t>
            </w:r>
            <w:r>
              <w:t>Region</w:t>
            </w:r>
            <w:r w:rsidRPr="00EC3F75">
              <w:t>al Funding)</w:t>
            </w:r>
          </w:p>
        </w:tc>
        <w:tc>
          <w:tcPr>
            <w:tcW w:w="2108" w:type="dxa"/>
            <w:vAlign w:val="center"/>
            <w:hideMark/>
          </w:tcPr>
          <w:p w14:paraId="344993A6" w14:textId="3C855A0F" w:rsidR="00220CB4" w:rsidRPr="00EC3F75" w:rsidRDefault="00220CB4" w:rsidP="00220CB4">
            <w:pPr>
              <w:spacing w:after="0"/>
              <w:jc w:val="center"/>
            </w:pPr>
            <w:r>
              <w:t>N/A</w:t>
            </w:r>
          </w:p>
        </w:tc>
        <w:tc>
          <w:tcPr>
            <w:tcW w:w="2109" w:type="dxa"/>
            <w:vAlign w:val="center"/>
            <w:hideMark/>
          </w:tcPr>
          <w:p w14:paraId="05B226D8" w14:textId="37495776" w:rsidR="00220CB4" w:rsidRPr="00EC3F75" w:rsidRDefault="00220CB4" w:rsidP="00220CB4">
            <w:pPr>
              <w:spacing w:after="0"/>
              <w:jc w:val="center"/>
            </w:pPr>
            <w:r w:rsidRPr="00EC3F75">
              <w:t>$200,000</w:t>
            </w:r>
          </w:p>
        </w:tc>
      </w:tr>
      <w:tr w:rsidR="00220CB4" w:rsidRPr="00EC3F75" w14:paraId="6C343CC9" w14:textId="77777777" w:rsidTr="00EE4BEF">
        <w:trPr>
          <w:trHeight w:val="288"/>
        </w:trPr>
        <w:tc>
          <w:tcPr>
            <w:tcW w:w="6200" w:type="dxa"/>
            <w:shd w:val="clear" w:color="auto" w:fill="DBE5F1" w:themeFill="accent1" w:themeFillTint="33"/>
            <w:vAlign w:val="center"/>
            <w:hideMark/>
          </w:tcPr>
          <w:p w14:paraId="24B398BC" w14:textId="77777777" w:rsidR="00220CB4" w:rsidRPr="00383038" w:rsidRDefault="00220CB4" w:rsidP="00220CB4">
            <w:pPr>
              <w:spacing w:after="0"/>
              <w:rPr>
                <w:b/>
                <w:bCs/>
              </w:rPr>
            </w:pPr>
            <w:r w:rsidRPr="00383038">
              <w:rPr>
                <w:b/>
                <w:bCs/>
              </w:rPr>
              <w:t>Environment</w:t>
            </w:r>
          </w:p>
        </w:tc>
        <w:tc>
          <w:tcPr>
            <w:tcW w:w="2108" w:type="dxa"/>
            <w:shd w:val="clear" w:color="auto" w:fill="DBE5F1" w:themeFill="accent1" w:themeFillTint="33"/>
            <w:vAlign w:val="center"/>
            <w:hideMark/>
          </w:tcPr>
          <w:p w14:paraId="18F730F4" w14:textId="77777777" w:rsidR="00220CB4" w:rsidRPr="00EC3F75" w:rsidRDefault="00220CB4" w:rsidP="00220CB4">
            <w:pPr>
              <w:spacing w:after="0"/>
              <w:jc w:val="center"/>
            </w:pPr>
          </w:p>
        </w:tc>
        <w:tc>
          <w:tcPr>
            <w:tcW w:w="2109" w:type="dxa"/>
            <w:shd w:val="clear" w:color="auto" w:fill="DBE5F1" w:themeFill="accent1" w:themeFillTint="33"/>
            <w:vAlign w:val="center"/>
            <w:hideMark/>
          </w:tcPr>
          <w:p w14:paraId="5E1DC426" w14:textId="77777777" w:rsidR="00220CB4" w:rsidRPr="00EC3F75" w:rsidRDefault="00220CB4" w:rsidP="00220CB4">
            <w:pPr>
              <w:spacing w:after="0"/>
              <w:jc w:val="center"/>
            </w:pPr>
          </w:p>
        </w:tc>
      </w:tr>
      <w:tr w:rsidR="00220CB4" w:rsidRPr="00EC3F75" w14:paraId="4A18D2B5" w14:textId="77777777" w:rsidTr="00EE4BEF">
        <w:trPr>
          <w:trHeight w:val="288"/>
        </w:trPr>
        <w:tc>
          <w:tcPr>
            <w:tcW w:w="6200" w:type="dxa"/>
            <w:vAlign w:val="center"/>
            <w:hideMark/>
          </w:tcPr>
          <w:p w14:paraId="7FFE3B93" w14:textId="53DF0287" w:rsidR="00220CB4" w:rsidRPr="00EC3F75" w:rsidRDefault="00220CB4" w:rsidP="00220CB4">
            <w:pPr>
              <w:spacing w:after="0"/>
            </w:pPr>
            <w:r w:rsidRPr="00EC3F75">
              <w:t>E</w:t>
            </w:r>
            <w:r w:rsidR="00EE4BEF">
              <w:t>lectric Vehicle</w:t>
            </w:r>
            <w:r w:rsidRPr="00EC3F75">
              <w:t xml:space="preserve"> Charging Infrastructure</w:t>
            </w:r>
            <w:r>
              <w:t xml:space="preserve"> (</w:t>
            </w:r>
            <w:r w:rsidR="00A15515">
              <w:t>S</w:t>
            </w:r>
            <w:r>
              <w:t>election in 2028)</w:t>
            </w:r>
          </w:p>
        </w:tc>
        <w:tc>
          <w:tcPr>
            <w:tcW w:w="2108" w:type="dxa"/>
            <w:vAlign w:val="center"/>
            <w:hideMark/>
          </w:tcPr>
          <w:p w14:paraId="57407627" w14:textId="26E0A028" w:rsidR="00220CB4" w:rsidRPr="00EC3F75" w:rsidRDefault="00220CB4" w:rsidP="00220CB4">
            <w:pPr>
              <w:spacing w:after="0"/>
              <w:jc w:val="center"/>
            </w:pPr>
            <w:r>
              <w:t>$500,000</w:t>
            </w:r>
          </w:p>
        </w:tc>
        <w:tc>
          <w:tcPr>
            <w:tcW w:w="2109" w:type="dxa"/>
            <w:vAlign w:val="center"/>
            <w:hideMark/>
          </w:tcPr>
          <w:p w14:paraId="5F01AAD4" w14:textId="747EE594" w:rsidR="00220CB4" w:rsidRPr="00EC3F75" w:rsidRDefault="00220CB4" w:rsidP="00220CB4">
            <w:pPr>
              <w:spacing w:after="0"/>
              <w:jc w:val="center"/>
            </w:pPr>
            <w:r w:rsidRPr="00EC3F75">
              <w:t>$2,000,000</w:t>
            </w:r>
          </w:p>
        </w:tc>
      </w:tr>
      <w:tr w:rsidR="00220CB4" w:rsidRPr="00EC3F75" w14:paraId="6B6D6E0A" w14:textId="77777777" w:rsidTr="00EE4BEF">
        <w:trPr>
          <w:trHeight w:val="288"/>
        </w:trPr>
        <w:tc>
          <w:tcPr>
            <w:tcW w:w="6200" w:type="dxa"/>
            <w:vAlign w:val="center"/>
            <w:hideMark/>
          </w:tcPr>
          <w:p w14:paraId="5014C43B" w14:textId="0940BA79" w:rsidR="00220CB4" w:rsidRPr="00EC3F75" w:rsidRDefault="00220CB4" w:rsidP="00220CB4">
            <w:pPr>
              <w:spacing w:after="0"/>
            </w:pPr>
            <w:r w:rsidRPr="00EC3F75">
              <w:t>T</w:t>
            </w:r>
            <w:r w:rsidR="005976BF">
              <w:t>ravel Demand Management</w:t>
            </w:r>
            <w:r>
              <w:t xml:space="preserve"> (Competitive)</w:t>
            </w:r>
          </w:p>
        </w:tc>
        <w:tc>
          <w:tcPr>
            <w:tcW w:w="2108" w:type="dxa"/>
            <w:vAlign w:val="center"/>
            <w:hideMark/>
          </w:tcPr>
          <w:p w14:paraId="47B8DC6E" w14:textId="433A5095" w:rsidR="00220CB4" w:rsidRPr="00EC3F75" w:rsidRDefault="00220CB4" w:rsidP="00220CB4">
            <w:pPr>
              <w:spacing w:after="0"/>
              <w:jc w:val="center"/>
            </w:pPr>
            <w:r w:rsidRPr="00EC3F75">
              <w:t>$100,000</w:t>
            </w:r>
          </w:p>
        </w:tc>
        <w:tc>
          <w:tcPr>
            <w:tcW w:w="2109" w:type="dxa"/>
            <w:vAlign w:val="center"/>
            <w:hideMark/>
          </w:tcPr>
          <w:p w14:paraId="19ED4F5D" w14:textId="2F323AAC" w:rsidR="00220CB4" w:rsidRPr="00EC3F75" w:rsidRDefault="00220CB4" w:rsidP="00220CB4">
            <w:pPr>
              <w:spacing w:after="0"/>
              <w:jc w:val="center"/>
            </w:pPr>
            <w:r w:rsidRPr="00EC3F75">
              <w:t>$750,000</w:t>
            </w:r>
          </w:p>
        </w:tc>
      </w:tr>
    </w:tbl>
    <w:bookmarkEnd w:id="1"/>
    <w:p w14:paraId="3318DC80" w14:textId="0EB4F418" w:rsidR="00FA38C8" w:rsidRDefault="00215ADE" w:rsidP="00105181">
      <w:pPr>
        <w:spacing w:before="120" w:after="120"/>
      </w:pPr>
      <w:r>
        <w:t xml:space="preserve">Table 5 shows the additional funding allocated to </w:t>
      </w:r>
      <w:r w:rsidR="00714F86">
        <w:t>arterial bus rapid transit, travel demand management</w:t>
      </w:r>
      <w:r w:rsidR="00EA1933">
        <w:t xml:space="preserve"> and the Travel Behavior Inventory</w:t>
      </w:r>
      <w:r w:rsidR="00105181">
        <w:t xml:space="preserve"> as described in the Other Project Selection Processes section above.</w:t>
      </w:r>
    </w:p>
    <w:p w14:paraId="2D51340D" w14:textId="1D55B276" w:rsidR="000F739E" w:rsidRDefault="2F48D0BE" w:rsidP="00B77A8A">
      <w:pPr>
        <w:pStyle w:val="Caption"/>
      </w:pPr>
      <w:r>
        <w:t>Table 5: Additional Funding Amounts</w:t>
      </w:r>
    </w:p>
    <w:tbl>
      <w:tblPr>
        <w:tblStyle w:val="MediumShading1-Accent11"/>
        <w:tblW w:w="5000" w:type="pct"/>
        <w:tblLook w:val="0620" w:firstRow="1" w:lastRow="0" w:firstColumn="0" w:lastColumn="0" w:noHBand="1" w:noVBand="1"/>
      </w:tblPr>
      <w:tblGrid>
        <w:gridCol w:w="4850"/>
        <w:gridCol w:w="5210"/>
      </w:tblGrid>
      <w:tr w:rsidR="0033451E" w:rsidRPr="00EC3F75" w14:paraId="6804103C" w14:textId="77777777" w:rsidTr="00215ADE">
        <w:trPr>
          <w:cnfStyle w:val="100000000000" w:firstRow="1" w:lastRow="0" w:firstColumn="0" w:lastColumn="0" w:oddVBand="0" w:evenVBand="0" w:oddHBand="0" w:evenHBand="0" w:firstRowFirstColumn="0" w:firstRowLastColumn="0" w:lastRowFirstColumn="0" w:lastRowLastColumn="0"/>
          <w:trHeight w:val="288"/>
        </w:trPr>
        <w:tc>
          <w:tcPr>
            <w:tcW w:w="4850" w:type="dxa"/>
            <w:hideMark/>
          </w:tcPr>
          <w:p w14:paraId="46BAF8B8" w14:textId="1C9C9814" w:rsidR="0033451E" w:rsidRPr="00383038" w:rsidRDefault="00DD7840">
            <w:pPr>
              <w:spacing w:after="0"/>
              <w:rPr>
                <w:color w:val="FFFFFF" w:themeColor="background1"/>
              </w:rPr>
            </w:pPr>
            <w:r>
              <w:rPr>
                <w:color w:val="FFFFFF" w:themeColor="background1"/>
              </w:rPr>
              <w:t>Project Funding</w:t>
            </w:r>
          </w:p>
        </w:tc>
        <w:tc>
          <w:tcPr>
            <w:tcW w:w="5210" w:type="dxa"/>
            <w:hideMark/>
          </w:tcPr>
          <w:p w14:paraId="0DE474F4" w14:textId="04084C3C" w:rsidR="0033451E" w:rsidRPr="00383038" w:rsidRDefault="0033451E" w:rsidP="009A0C6D">
            <w:pPr>
              <w:spacing w:after="0"/>
              <w:jc w:val="center"/>
              <w:rPr>
                <w:color w:val="FFFFFF" w:themeColor="background1"/>
              </w:rPr>
            </w:pPr>
            <w:r>
              <w:rPr>
                <w:color w:val="FFFFFF" w:themeColor="background1"/>
              </w:rPr>
              <w:t>Expected Funding Amount</w:t>
            </w:r>
          </w:p>
        </w:tc>
      </w:tr>
      <w:tr w:rsidR="0033451E" w:rsidRPr="00EC3F75" w14:paraId="4F93A9C0" w14:textId="77777777" w:rsidTr="00215ADE">
        <w:trPr>
          <w:trHeight w:val="288"/>
        </w:trPr>
        <w:tc>
          <w:tcPr>
            <w:tcW w:w="4850" w:type="dxa"/>
            <w:vAlign w:val="center"/>
            <w:hideMark/>
          </w:tcPr>
          <w:p w14:paraId="2B0B703E" w14:textId="49CE57F3" w:rsidR="0033451E" w:rsidRPr="00EC3F75" w:rsidRDefault="0033451E">
            <w:pPr>
              <w:spacing w:after="0"/>
            </w:pPr>
            <w:r w:rsidRPr="00EC3F75">
              <w:t xml:space="preserve">Arterial </w:t>
            </w:r>
            <w:r w:rsidR="000E7EDD">
              <w:t>Bus Rapid Transit</w:t>
            </w:r>
          </w:p>
        </w:tc>
        <w:tc>
          <w:tcPr>
            <w:tcW w:w="5210" w:type="dxa"/>
            <w:vAlign w:val="center"/>
            <w:hideMark/>
          </w:tcPr>
          <w:p w14:paraId="70DDB869" w14:textId="55AAF984" w:rsidR="0033451E" w:rsidRPr="00EC3F75" w:rsidRDefault="6EBEAE27">
            <w:pPr>
              <w:spacing w:after="0"/>
              <w:jc w:val="center"/>
            </w:pPr>
            <w:r>
              <w:t>$30,000,000 minimum</w:t>
            </w:r>
          </w:p>
        </w:tc>
      </w:tr>
      <w:tr w:rsidR="0033451E" w:rsidRPr="00EC3F75" w14:paraId="2AF510B8" w14:textId="77777777" w:rsidTr="00215ADE">
        <w:trPr>
          <w:trHeight w:val="288"/>
        </w:trPr>
        <w:tc>
          <w:tcPr>
            <w:tcW w:w="4850" w:type="dxa"/>
            <w:vAlign w:val="center"/>
            <w:hideMark/>
          </w:tcPr>
          <w:p w14:paraId="5324181B" w14:textId="7735E9F1" w:rsidR="0033451E" w:rsidRPr="00EC3F75" w:rsidRDefault="0033451E">
            <w:pPr>
              <w:spacing w:after="0"/>
            </w:pPr>
            <w:r w:rsidRPr="00EC3F75">
              <w:t>T</w:t>
            </w:r>
            <w:r w:rsidR="000E7EDD">
              <w:t>ravel Demand Management</w:t>
            </w:r>
            <w:r>
              <w:t xml:space="preserve"> Base Funding</w:t>
            </w:r>
          </w:p>
        </w:tc>
        <w:tc>
          <w:tcPr>
            <w:tcW w:w="5210" w:type="dxa"/>
            <w:vAlign w:val="center"/>
            <w:hideMark/>
          </w:tcPr>
          <w:p w14:paraId="2ABDA9A3" w14:textId="64A31A61" w:rsidR="0033451E" w:rsidRPr="00EC3F75" w:rsidRDefault="0033451E">
            <w:pPr>
              <w:spacing w:after="0"/>
              <w:jc w:val="center"/>
            </w:pPr>
            <w:r>
              <w:t>$5,800,000</w:t>
            </w:r>
          </w:p>
        </w:tc>
      </w:tr>
      <w:tr w:rsidR="0033451E" w:rsidRPr="00EC3F75" w14:paraId="277C7F7D" w14:textId="77777777" w:rsidTr="00215ADE">
        <w:trPr>
          <w:trHeight w:val="288"/>
        </w:trPr>
        <w:tc>
          <w:tcPr>
            <w:tcW w:w="4850" w:type="dxa"/>
            <w:vAlign w:val="center"/>
          </w:tcPr>
          <w:p w14:paraId="761C82C7" w14:textId="7F4CF524" w:rsidR="0033451E" w:rsidRPr="00EC3F75" w:rsidRDefault="0033451E">
            <w:pPr>
              <w:spacing w:after="0"/>
            </w:pPr>
            <w:r>
              <w:t>Regional Travel Behavior Inventory</w:t>
            </w:r>
          </w:p>
        </w:tc>
        <w:tc>
          <w:tcPr>
            <w:tcW w:w="5210" w:type="dxa"/>
            <w:vAlign w:val="center"/>
          </w:tcPr>
          <w:p w14:paraId="3ED20441" w14:textId="5B1E6490" w:rsidR="0033451E" w:rsidRPr="00EC3F75" w:rsidRDefault="0033451E">
            <w:pPr>
              <w:spacing w:after="0"/>
              <w:jc w:val="center"/>
            </w:pPr>
            <w:r>
              <w:t>$1,500,000</w:t>
            </w:r>
          </w:p>
        </w:tc>
      </w:tr>
    </w:tbl>
    <w:p w14:paraId="23A12052" w14:textId="63AB5A9E" w:rsidR="0095250B" w:rsidRDefault="00A76C0D" w:rsidP="00105181">
      <w:pPr>
        <w:spacing w:before="120" w:after="120"/>
      </w:pPr>
      <w:r>
        <w:t>D</w:t>
      </w:r>
      <w:r w:rsidR="00520E64" w:rsidRPr="00520E64">
        <w:t xml:space="preserve">efinitions, examples, and scoring overviews of each of the </w:t>
      </w:r>
      <w:r w:rsidR="005C2160">
        <w:t>application</w:t>
      </w:r>
      <w:r w:rsidR="00520E64" w:rsidRPr="00520E64">
        <w:t xml:space="preserve"> categories</w:t>
      </w:r>
      <w:r>
        <w:t xml:space="preserve"> are included at the end of this document</w:t>
      </w:r>
      <w:r w:rsidR="00520E64" w:rsidRPr="00520E64">
        <w:t>.</w:t>
      </w:r>
    </w:p>
    <w:p w14:paraId="518745E7" w14:textId="569C83FF" w:rsidR="00A76C0D" w:rsidRDefault="00A76C0D" w:rsidP="00A76C0D">
      <w:pPr>
        <w:pStyle w:val="Heading1"/>
      </w:pPr>
      <w:r w:rsidRPr="00D608E2">
        <w:t>Genera</w:t>
      </w:r>
      <w:r w:rsidR="008046C5">
        <w:t xml:space="preserve">l </w:t>
      </w:r>
      <w:r w:rsidRPr="00D608E2">
        <w:t xml:space="preserve">Process </w:t>
      </w:r>
      <w:r w:rsidR="00BD183A">
        <w:t xml:space="preserve">and </w:t>
      </w:r>
      <w:r w:rsidR="008046C5">
        <w:t>Rules</w:t>
      </w:r>
    </w:p>
    <w:p w14:paraId="4E1CBDB9" w14:textId="44AE80E0" w:rsidR="00D32569" w:rsidRPr="00DB7EFE" w:rsidRDefault="00D32569" w:rsidP="00D32569">
      <w:pPr>
        <w:pStyle w:val="Heading2"/>
      </w:pPr>
      <w:r>
        <w:t>Application Process</w:t>
      </w:r>
    </w:p>
    <w:p w14:paraId="3FA73F32" w14:textId="43AB8AD4" w:rsidR="00D32569" w:rsidRPr="00105181" w:rsidRDefault="00D32569" w:rsidP="00D32569">
      <w:pPr>
        <w:pStyle w:val="ListParagraph"/>
        <w:numPr>
          <w:ilvl w:val="0"/>
          <w:numId w:val="5"/>
        </w:numPr>
        <w:spacing w:after="120" w:line="264" w:lineRule="auto"/>
      </w:pPr>
      <w:r w:rsidRPr="00105181">
        <w:t>Projects may apply for Highway Safety Improvement Program (HSIP) funding in addition to the Regional Solicitation</w:t>
      </w:r>
      <w:r w:rsidR="00F24CC2">
        <w:t xml:space="preserve"> and </w:t>
      </w:r>
      <w:r w:rsidRPr="00105181">
        <w:t>Active Transportation Solicitation. However, applicants may not submit the same project for multiple categories within the Regional Solicitation</w:t>
      </w:r>
      <w:r w:rsidR="00F24CC2">
        <w:t xml:space="preserve"> and </w:t>
      </w:r>
      <w:r w:rsidRPr="00105181">
        <w:t xml:space="preserve">Active Transportation Solicitation. Instead, applicants should select the application category that best aligns with the primary objectives of the project. Each project submitted should be unique and not have overlapping project elements with another project submitted by the same agency. Projects can only be awarded funds from one of the three programs (i.e., HSIP, Regional Solicitation, and Active Transportation) for the same or overlapping project elements. </w:t>
      </w:r>
    </w:p>
    <w:p w14:paraId="0E30249A" w14:textId="3F886BCA" w:rsidR="00D32569" w:rsidRPr="00105181" w:rsidRDefault="00D32569" w:rsidP="00D32569">
      <w:pPr>
        <w:pStyle w:val="ListParagraph"/>
        <w:numPr>
          <w:ilvl w:val="0"/>
          <w:numId w:val="5"/>
        </w:numPr>
        <w:spacing w:after="120" w:line="264" w:lineRule="auto"/>
      </w:pPr>
      <w:r w:rsidRPr="00105181">
        <w:t xml:space="preserve">The applicant must complete the qualifying requirements </w:t>
      </w:r>
      <w:r w:rsidR="00ED5DF6">
        <w:t xml:space="preserve">forms </w:t>
      </w:r>
      <w:r w:rsidRPr="00105181">
        <w:t xml:space="preserve">to show that the project meets </w:t>
      </w:r>
      <w:r w:rsidR="00DD7840" w:rsidRPr="00105181">
        <w:t>all</w:t>
      </w:r>
      <w:r w:rsidRPr="00105181">
        <w:t xml:space="preserve"> the qualifying requirements of the appropriate </w:t>
      </w:r>
      <w:r w:rsidR="001C0EBD" w:rsidRPr="00105181">
        <w:t>application category</w:t>
      </w:r>
      <w:r w:rsidRPr="00105181">
        <w:t xml:space="preserve"> to be eligible to be scored and ranked against other projects.  </w:t>
      </w:r>
    </w:p>
    <w:p w14:paraId="720FC5E3" w14:textId="4FD072BB" w:rsidR="00B77A8A" w:rsidRPr="00105181" w:rsidRDefault="00D32569" w:rsidP="00B77A8A">
      <w:pPr>
        <w:pStyle w:val="ListParagraph"/>
        <w:numPr>
          <w:ilvl w:val="0"/>
          <w:numId w:val="5"/>
        </w:numPr>
        <w:spacing w:after="120" w:line="264" w:lineRule="auto"/>
      </w:pPr>
      <w:r w:rsidRPr="00105181">
        <w:t xml:space="preserve">The applicant must respond directly to each scoring measure </w:t>
      </w:r>
      <w:r w:rsidR="00DD7840" w:rsidRPr="00105181">
        <w:t>for</w:t>
      </w:r>
      <w:r w:rsidRPr="00105181">
        <w:t xml:space="preserve"> its application to be scored and receive points. Projects are scored based on how well the response meets the requirements of the measures and, in some cases, how well the responses compare to those of other qualified applications in the same project </w:t>
      </w:r>
      <w:r w:rsidR="001C0EBD" w:rsidRPr="00105181">
        <w:t>application category</w:t>
      </w:r>
      <w:r w:rsidRPr="00105181">
        <w:t>.</w:t>
      </w:r>
    </w:p>
    <w:p w14:paraId="37DFB608" w14:textId="7592DBED" w:rsidR="00B77A8A" w:rsidRPr="00105181" w:rsidRDefault="00B77A8A" w:rsidP="00B53C56">
      <w:pPr>
        <w:pStyle w:val="ListParagraph"/>
        <w:numPr>
          <w:ilvl w:val="0"/>
          <w:numId w:val="5"/>
        </w:numPr>
        <w:spacing w:after="120" w:line="264" w:lineRule="auto"/>
      </w:pPr>
      <w:r w:rsidRPr="00105181">
        <w:t>Project applicants may “bundle” two or more projects together, but they must either be:</w:t>
      </w:r>
    </w:p>
    <w:p w14:paraId="1C5718D7" w14:textId="77777777" w:rsidR="00B77A8A" w:rsidRPr="00105181" w:rsidRDefault="00B77A8A" w:rsidP="00ED5DF6">
      <w:pPr>
        <w:pStyle w:val="ListParagraph"/>
        <w:numPr>
          <w:ilvl w:val="0"/>
          <w:numId w:val="46"/>
        </w:numPr>
      </w:pPr>
      <w:r w:rsidRPr="00105181">
        <w:t xml:space="preserve">Projects located along the same corridor or </w:t>
      </w:r>
      <w:proofErr w:type="spellStart"/>
      <w:r w:rsidRPr="00105181">
        <w:t>travelshed</w:t>
      </w:r>
      <w:proofErr w:type="spellEnd"/>
      <w:r w:rsidRPr="00105181">
        <w:t xml:space="preserve"> (e.g., filling multiple trail gaps along a trail corridor or projects at stops/stations along a transit route)</w:t>
      </w:r>
    </w:p>
    <w:p w14:paraId="2278CF8E" w14:textId="1E0C090A" w:rsidR="00B77A8A" w:rsidRPr="00105181" w:rsidRDefault="00B77A8A" w:rsidP="00ED5DF6">
      <w:pPr>
        <w:pStyle w:val="ListParagraph"/>
        <w:numPr>
          <w:ilvl w:val="0"/>
          <w:numId w:val="46"/>
        </w:numPr>
      </w:pPr>
      <w:r w:rsidRPr="00105181">
        <w:t>Similar improvements within a defined neighborhood or downtown area (e.g., adding benches along the sidewalks in a downtown area, improving curb ramps across a corridor/small area)</w:t>
      </w:r>
    </w:p>
    <w:p w14:paraId="5286BA79" w14:textId="665EE339" w:rsidR="00B77A8A" w:rsidRPr="00105181" w:rsidRDefault="00B77A8A" w:rsidP="00105181">
      <w:pPr>
        <w:ind w:left="720"/>
      </w:pPr>
      <w:r w:rsidRPr="00105181">
        <w:t xml:space="preserve">The bundling of independent projects that are not related to one another as described above is not allowed. For eligible bundled projects, when scoring in multiple locations, an average will be used for geographically based measures. Applicants are encouraged to contact Joe Barbeau at </w:t>
      </w:r>
      <w:hyperlink r:id="rId22" w:history="1">
        <w:r w:rsidR="00F246DE" w:rsidRPr="0060210F">
          <w:rPr>
            <w:rStyle w:val="Hyperlink"/>
          </w:rPr>
          <w:t>Joseph.barbeau@metc.state.mn.us</w:t>
        </w:r>
      </w:hyperlink>
      <w:r w:rsidRPr="00105181">
        <w:t xml:space="preserve"> if they have questions regarding project bundling.</w:t>
      </w:r>
    </w:p>
    <w:p w14:paraId="2872D510" w14:textId="77777777" w:rsidR="00D32569" w:rsidRDefault="00D32569" w:rsidP="00D32569">
      <w:pPr>
        <w:pStyle w:val="Heading2"/>
      </w:pPr>
      <w:r>
        <w:lastRenderedPageBreak/>
        <w:t>Scoring and Project Selection</w:t>
      </w:r>
    </w:p>
    <w:p w14:paraId="58648FCB" w14:textId="048220C2" w:rsidR="00D32569" w:rsidRDefault="00D32569" w:rsidP="00D41668">
      <w:pPr>
        <w:pStyle w:val="ListNumbered"/>
        <w:numPr>
          <w:ilvl w:val="0"/>
          <w:numId w:val="48"/>
        </w:numPr>
      </w:pPr>
      <w:r>
        <w:t xml:space="preserve">Scoring committees made up of members of the </w:t>
      </w:r>
      <w:hyperlink r:id="rId23" w:history="1">
        <w:r w:rsidRPr="00E54C99">
          <w:rPr>
            <w:rStyle w:val="Hyperlink"/>
          </w:rPr>
          <w:t>TAC</w:t>
        </w:r>
        <w:r w:rsidR="008C1D42" w:rsidRPr="00E54C99">
          <w:rPr>
            <w:rStyle w:val="Hyperlink"/>
          </w:rPr>
          <w:t xml:space="preserve"> Funding and Programming</w:t>
        </w:r>
        <w:r w:rsidRPr="00E54C99">
          <w:rPr>
            <w:rStyle w:val="Hyperlink"/>
          </w:rPr>
          <w:t xml:space="preserve"> Committee</w:t>
        </w:r>
      </w:hyperlink>
      <w:r>
        <w:t xml:space="preserve"> </w:t>
      </w:r>
      <w:r w:rsidR="009A0471">
        <w:t>and</w:t>
      </w:r>
      <w:r>
        <w:t xml:space="preserve"> other </w:t>
      </w:r>
      <w:r w:rsidR="00C43C40">
        <w:t>technical staff</w:t>
      </w:r>
      <w:r>
        <w:t xml:space="preserve"> will evaluate the applications and prepare a ranked list of projects for each </w:t>
      </w:r>
      <w:r w:rsidR="001C0EBD">
        <w:t>application category</w:t>
      </w:r>
      <w:r>
        <w:t xml:space="preserve"> based on a total score of all the measures. The </w:t>
      </w:r>
      <w:r w:rsidR="009A0471">
        <w:t>c</w:t>
      </w:r>
      <w:r>
        <w:t xml:space="preserve">ommittee will forward the ranked list of projects with funding options to </w:t>
      </w:r>
      <w:hyperlink r:id="rId24" w:history="1">
        <w:r w:rsidR="00E54C99" w:rsidRPr="0067499B">
          <w:rPr>
            <w:rStyle w:val="Hyperlink"/>
          </w:rPr>
          <w:t xml:space="preserve">TAB Technical Advisory </w:t>
        </w:r>
        <w:r w:rsidR="00D41668" w:rsidRPr="0067499B">
          <w:rPr>
            <w:rStyle w:val="Hyperlink"/>
          </w:rPr>
          <w:t xml:space="preserve">Committee </w:t>
        </w:r>
      </w:hyperlink>
      <w:r w:rsidR="00D41668">
        <w:t>(</w:t>
      </w:r>
      <w:r w:rsidR="0020380E">
        <w:t xml:space="preserve">TAC) </w:t>
      </w:r>
      <w:r>
        <w:t xml:space="preserve">and </w:t>
      </w:r>
      <w:r w:rsidR="0020380E">
        <w:t xml:space="preserve">the </w:t>
      </w:r>
      <w:hyperlink r:id="rId25" w:history="1">
        <w:r w:rsidR="0020380E" w:rsidRPr="00B01DEE">
          <w:rPr>
            <w:rStyle w:val="Hyperlink"/>
          </w:rPr>
          <w:t>Transportation Advisory Board</w:t>
        </w:r>
      </w:hyperlink>
      <w:r w:rsidR="0020380E">
        <w:t xml:space="preserve"> (</w:t>
      </w:r>
      <w:r>
        <w:t>TAB</w:t>
      </w:r>
      <w:r w:rsidR="0020380E">
        <w:t>)</w:t>
      </w:r>
      <w:r>
        <w:t xml:space="preserve">. TAB may develop its own funding options as well. TAB will then approve a list of projects, and the Metropolitan Council will concur </w:t>
      </w:r>
      <w:r w:rsidR="00D41668">
        <w:t>with</w:t>
      </w:r>
      <w:r>
        <w:t xml:space="preserve"> the Regional Solicitation projects. TAB later recommends the Regional Solicitation projects as part of the region’s draft </w:t>
      </w:r>
      <w:hyperlink r:id="rId26" w:history="1">
        <w:r w:rsidRPr="00D358C1">
          <w:rPr>
            <w:rStyle w:val="Hyperlink"/>
          </w:rPr>
          <w:t>T</w:t>
        </w:r>
        <w:r w:rsidR="0067499B" w:rsidRPr="00D358C1">
          <w:rPr>
            <w:rStyle w:val="Hyperlink"/>
          </w:rPr>
          <w:t>ransportation Improvement Program</w:t>
        </w:r>
      </w:hyperlink>
      <w:r>
        <w:t xml:space="preserve"> and the Metropolitan Council approves it.</w:t>
      </w:r>
    </w:p>
    <w:p w14:paraId="24ED3571" w14:textId="77F05A50" w:rsidR="00D32569" w:rsidRPr="00572AE0" w:rsidRDefault="00D32569" w:rsidP="00D41668">
      <w:pPr>
        <w:pStyle w:val="ListNumbered"/>
      </w:pPr>
      <w:r>
        <w:t xml:space="preserve">Scoring committees should use a tiebreaker to sort the ranking of two or more projects with the same score (all scores in each measure will be rounded to the nearest whole </w:t>
      </w:r>
      <w:r w:rsidR="00D41668">
        <w:t>number</w:t>
      </w:r>
      <w:r>
        <w:t xml:space="preserve">). For the 2026 Regional Solicitation, ties will be broken within </w:t>
      </w:r>
      <w:r w:rsidR="005C2160">
        <w:t xml:space="preserve">application </w:t>
      </w:r>
      <w:r>
        <w:t xml:space="preserve">categories by favoring the higher-scoring project in the highest-weighted criterion. If that score is tied, the tiebreaker will move down to the next-highest-weighted criterion until there is no tie. In any instance in which a tied score is between two projects with the same sponsor in the same </w:t>
      </w:r>
      <w:r w:rsidR="001C0EBD">
        <w:t>application category</w:t>
      </w:r>
      <w:r>
        <w:t>, that sponsor can select which project is ranked higher.</w:t>
      </w:r>
    </w:p>
    <w:p w14:paraId="3B27E999" w14:textId="77777777" w:rsidR="00D32569" w:rsidRDefault="00D32569" w:rsidP="00D41668">
      <w:pPr>
        <w:pStyle w:val="ListNumbered"/>
      </w:pPr>
      <w:r>
        <w:t>Scoring committees have the option to recommend a deviation from the approved scoring guidance if a rationale for the deviation is provided to the TAC Funding and Programming Committee for its consideration.</w:t>
      </w:r>
    </w:p>
    <w:p w14:paraId="0539593E" w14:textId="46996A6A" w:rsidR="00D32569" w:rsidRDefault="00D32569" w:rsidP="00D41668">
      <w:pPr>
        <w:pStyle w:val="ListNumbered"/>
      </w:pPr>
      <w:r>
        <w:t>Applicants will have an opportunity to appeal scores on their submittals only at a TAC Funding and Programming Committee meeting. Scoring appeals are limited to quantitative errors or mistakes. The score</w:t>
      </w:r>
      <w:r w:rsidR="00F76BFB">
        <w:t>s</w:t>
      </w:r>
      <w:r>
        <w:t xml:space="preserve"> </w:t>
      </w:r>
      <w:r w:rsidR="00F76BFB">
        <w:t>given</w:t>
      </w:r>
      <w:r>
        <w:t xml:space="preserve"> on qualitative responses cannot be appealed.</w:t>
      </w:r>
    </w:p>
    <w:p w14:paraId="04215E05" w14:textId="296EC50F" w:rsidR="00D32569" w:rsidRDefault="00D32569" w:rsidP="00D41668">
      <w:pPr>
        <w:pStyle w:val="ListNumbered"/>
      </w:pPr>
      <w:r>
        <w:t xml:space="preserve">TAB will not fund more than one project in the same </w:t>
      </w:r>
      <w:r w:rsidR="001C0EBD">
        <w:t>application category</w:t>
      </w:r>
      <w:r>
        <w:t xml:space="preserve"> that is immediately adjacent to another submitted project </w:t>
      </w:r>
      <w:proofErr w:type="gramStart"/>
      <w:r>
        <w:t>on</w:t>
      </w:r>
      <w:proofErr w:type="gramEnd"/>
      <w:r>
        <w:t xml:space="preserve"> the same corridor (only applies to two separate applications selected in the same solicitation). For example, an applicant cannot break up the project into two separate applications to increase its funding award in the same solicitation cycle.</w:t>
      </w:r>
    </w:p>
    <w:p w14:paraId="0F2085AA" w14:textId="77777777" w:rsidR="00D32569" w:rsidRDefault="00D32569" w:rsidP="00D41668">
      <w:pPr>
        <w:pStyle w:val="ListNumbered"/>
      </w:pPr>
      <w:r>
        <w:t>A map of the selected projects will be distributed to the Minnesota Indian Affairs Council (MIAC) so that project sponsors will have ample time to coordinate on projects that potentially impact culturally sensitive land. Additional coordination between the MPO and Tribal Nations is occurring in other areas of the MPO’s work.</w:t>
      </w:r>
    </w:p>
    <w:p w14:paraId="0BB4CD16" w14:textId="6CF66170" w:rsidR="00B77A8A" w:rsidRPr="002808BB" w:rsidRDefault="00B77A8A" w:rsidP="00D41668">
      <w:pPr>
        <w:pStyle w:val="ListNumbered"/>
      </w:pPr>
      <w:r>
        <w:t xml:space="preserve">At least one project will be funded from each of the five eligible </w:t>
      </w:r>
      <w:hyperlink r:id="rId27" w:history="1">
        <w:r w:rsidRPr="00EF688F">
          <w:rPr>
            <w:rStyle w:val="Hyperlink"/>
          </w:rPr>
          <w:t>functional classifications</w:t>
        </w:r>
      </w:hyperlink>
      <w:r>
        <w:t xml:space="preserve">: Minor arterial augmenters, connectors, expanders, and relievers, as well as other principal arterials (i.e., non-freeway facilities). </w:t>
      </w:r>
    </w:p>
    <w:p w14:paraId="47DAA29B" w14:textId="763913EE" w:rsidR="00B77A8A" w:rsidRPr="009228A3" w:rsidRDefault="00B77A8A" w:rsidP="00D41668">
      <w:pPr>
        <w:pStyle w:val="ListNumbered"/>
      </w:pPr>
      <w:r>
        <w:t xml:space="preserve">Within the Transit modal </w:t>
      </w:r>
      <w:r w:rsidR="002E4564">
        <w:t>sub-</w:t>
      </w:r>
      <w:r>
        <w:t xml:space="preserve">category, there is an Arterial Bus Rapid Transit category, which will be funded for a minimum of $30 million. TAB may choose to allocate more than the minimum for that category, in which case the additional funding will come from other Transit </w:t>
      </w:r>
      <w:r w:rsidR="005C2160">
        <w:t xml:space="preserve">application </w:t>
      </w:r>
      <w:r>
        <w:t xml:space="preserve">categories. There is also a New Market guarantee to ensure that at least one Transit Expansion or Modernization project is funded that serves areas outside of Transit Market Area 1 and 2 from the Transportation Policy Plan for at least one end of the project. </w:t>
      </w:r>
    </w:p>
    <w:p w14:paraId="6DB485CD" w14:textId="74F5E9D3" w:rsidR="001C2782" w:rsidRDefault="001C2782">
      <w:pPr>
        <w:spacing w:after="0"/>
      </w:pPr>
      <w:r>
        <w:br w:type="page"/>
      </w:r>
    </w:p>
    <w:p w14:paraId="3EC6FD18" w14:textId="5059B19F" w:rsidR="008046C5" w:rsidRDefault="008046C5" w:rsidP="008046C5">
      <w:pPr>
        <w:pStyle w:val="Heading2"/>
      </w:pPr>
      <w:r>
        <w:lastRenderedPageBreak/>
        <w:t>Funding Schedule</w:t>
      </w:r>
    </w:p>
    <w:p w14:paraId="4EB3A785" w14:textId="052DF522" w:rsidR="00EF688F" w:rsidRDefault="2F48D0BE" w:rsidP="00560D3B">
      <w:pPr>
        <w:pStyle w:val="ListNumbered"/>
        <w:numPr>
          <w:ilvl w:val="0"/>
          <w:numId w:val="49"/>
        </w:numPr>
      </w:pPr>
      <w:r>
        <w:t xml:space="preserve">Most projects selected to receive federal funding through this solicitation will be programmed in the regional </w:t>
      </w:r>
      <w:hyperlink r:id="rId28" w:history="1">
        <w:r w:rsidR="00560D3B" w:rsidRPr="00D358C1">
          <w:rPr>
            <w:rStyle w:val="Hyperlink"/>
          </w:rPr>
          <w:t>Transportation Improvement Program</w:t>
        </w:r>
      </w:hyperlink>
      <w:r>
        <w:t xml:space="preserve"> </w:t>
      </w:r>
      <w:r w:rsidR="00560D3B">
        <w:t xml:space="preserve">(TIP) </w:t>
      </w:r>
      <w:r>
        <w:t xml:space="preserve">in program years 2030 and 2031. There may be a small amount of federal funding in earlier years that will also become available. The Active Transportation funds do not need to be programmed into the TIP, as these projects do not </w:t>
      </w:r>
      <w:r w:rsidR="00404499">
        <w:t>receive</w:t>
      </w:r>
      <w:r>
        <w:t xml:space="preserve"> federal funding. </w:t>
      </w:r>
      <w:r w:rsidR="00564AF7">
        <w:t>Active Transportation p</w:t>
      </w:r>
      <w:r>
        <w:t>rojects may be initiated in years 2027, 2028, and 2029.</w:t>
      </w:r>
    </w:p>
    <w:p w14:paraId="09D7721E" w14:textId="68239819" w:rsidR="00BD183A" w:rsidRDefault="008046C5" w:rsidP="00560D3B">
      <w:pPr>
        <w:pStyle w:val="ListNumbered"/>
      </w:pPr>
      <w:r w:rsidRPr="00EF688F">
        <w:rPr>
          <w:b/>
          <w:bCs/>
        </w:rPr>
        <w:t>A project will be removed from the program if it does not meet its program year.</w:t>
      </w:r>
      <w:r>
        <w:t xml:space="preserve"> The program year aligns with the state fiscal year. For example, if the project is programmed for 2030 in the TIP, the project program year begins July 1, 2029, and ends June 30, 2030. Most projects selected from this solicitation will be programmed in </w:t>
      </w:r>
      <w:r w:rsidR="00560D3B">
        <w:t>fiscal year</w:t>
      </w:r>
      <w:r>
        <w:t xml:space="preserve"> 2030 and 2031. The </w:t>
      </w:r>
      <w:hyperlink r:id="rId29" w:history="1">
        <w:r w:rsidRPr="00560D3B">
          <w:rPr>
            <w:rStyle w:val="Hyperlink"/>
          </w:rPr>
          <w:t>Regional Program Year Policy</w:t>
        </w:r>
      </w:hyperlink>
      <w:r w:rsidRPr="00560D3B">
        <w:rPr>
          <w:rStyle w:val="Hyperlink"/>
        </w:rPr>
        <w:t xml:space="preserve"> </w:t>
      </w:r>
      <w:r>
        <w:t xml:space="preserve">outlines the process to request a one-time program year extension.  </w:t>
      </w:r>
    </w:p>
    <w:p w14:paraId="0980FEEF" w14:textId="409B0270" w:rsidR="00A25C5D" w:rsidRPr="00E75034" w:rsidRDefault="00DB7EFE" w:rsidP="00E75034">
      <w:pPr>
        <w:pStyle w:val="Heading2"/>
      </w:pPr>
      <w:r w:rsidRPr="00E75034">
        <w:t xml:space="preserve">Cost </w:t>
      </w:r>
      <w:r w:rsidR="00585102" w:rsidRPr="00E75034">
        <w:t xml:space="preserve">and </w:t>
      </w:r>
      <w:r w:rsidR="00BD183A" w:rsidRPr="00E75034">
        <w:t>Funding</w:t>
      </w:r>
    </w:p>
    <w:p w14:paraId="7B856366" w14:textId="3DC4854F" w:rsidR="00B40E50" w:rsidRPr="00560D3B" w:rsidRDefault="00585102" w:rsidP="00560D3B">
      <w:pPr>
        <w:pStyle w:val="ListNumbered"/>
        <w:numPr>
          <w:ilvl w:val="0"/>
          <w:numId w:val="50"/>
        </w:numPr>
      </w:pPr>
      <w:r w:rsidRPr="00560D3B">
        <w:t>The fundable amount of a project is based on the original submittal. T</w:t>
      </w:r>
      <w:r w:rsidR="00D92DD8">
        <w:t>he Transportation Advisory Board (TAB)</w:t>
      </w:r>
      <w:r w:rsidRPr="00560D3B">
        <w:t xml:space="preserve"> must approve any significant change in the scope or cost of an approved project as described in TAB’s </w:t>
      </w:r>
      <w:hyperlink r:id="rId30" w:history="1">
        <w:r w:rsidRPr="00D92DD8">
          <w:rPr>
            <w:rStyle w:val="Hyperlink"/>
          </w:rPr>
          <w:t>Scope Change Policy</w:t>
        </w:r>
      </w:hyperlink>
      <w:r w:rsidRPr="00D92DD8">
        <w:rPr>
          <w:rStyle w:val="Hyperlink"/>
        </w:rPr>
        <w:t>.</w:t>
      </w:r>
    </w:p>
    <w:p w14:paraId="57C16B38" w14:textId="5A98690F" w:rsidR="00BD183A" w:rsidRPr="00560D3B" w:rsidRDefault="00AD2611" w:rsidP="00560D3B">
      <w:pPr>
        <w:pStyle w:val="ListNumbered"/>
      </w:pPr>
      <w:r w:rsidRPr="00560D3B">
        <w:t xml:space="preserve">For all projects, sponsors must incur the cost of the project prior to repayment. Costs become eligible for reimbursement only after a project has been approved by MnDOT State-Aid and the appropriate USDOT modal agency. For Active Transportation regional sales tax funded projects, project costs are eligible for reimbursement only after the project has been approved by Met Council </w:t>
      </w:r>
      <w:r w:rsidR="00E36D78" w:rsidRPr="00560D3B">
        <w:t>grants staff</w:t>
      </w:r>
      <w:r w:rsidRPr="00560D3B">
        <w:t>.</w:t>
      </w:r>
    </w:p>
    <w:p w14:paraId="22BD6D22" w14:textId="017AC28C" w:rsidR="00585102" w:rsidRDefault="2F48D0BE" w:rsidP="00585102">
      <w:pPr>
        <w:pStyle w:val="Heading2"/>
      </w:pPr>
      <w:r>
        <w:t>Roadway Lane Expansion or New Interchange Requirements</w:t>
      </w:r>
    </w:p>
    <w:p w14:paraId="5034C8F8" w14:textId="3ED0BD5C" w:rsidR="008046C5" w:rsidRDefault="6EBEAE27" w:rsidP="00560D3B">
      <w:pPr>
        <w:pStyle w:val="ListNumbered"/>
        <w:numPr>
          <w:ilvl w:val="0"/>
          <w:numId w:val="51"/>
        </w:numPr>
      </w:pPr>
      <w:r w:rsidRPr="6EBEAE27">
        <w:t xml:space="preserve">Projects on the Minnesota trunk highway system that have a total cost (including design and engineering and right-of-way costs) greater than $15 million and are either new interchange projects or add 2,500 feet of lane miles or more are required to perform a transportation greenhouse gas emissions impact assessment per </w:t>
      </w:r>
      <w:hyperlink r:id="rId31" w:history="1">
        <w:r w:rsidRPr="00EA2CB7">
          <w:rPr>
            <w:rStyle w:val="Hyperlink"/>
          </w:rPr>
          <w:t>MN Statute 161.178</w:t>
        </w:r>
      </w:hyperlink>
      <w:r w:rsidRPr="6EBEAE27">
        <w:t xml:space="preserve">. This law requires a greenhouse gas impact assessment of the project and development of an offset plan before inclusion in the </w:t>
      </w:r>
      <w:r w:rsidR="00EA2CB7">
        <w:t>TIP</w:t>
      </w:r>
      <w:r w:rsidRPr="6EBEAE27">
        <w:t>. The assessment and offset plan will need to be reviewed by the Metropolitan Council and Transportation Greenhouse Gas Emissions Impact Assessment Technical Advisory Committee. The Minnesota Commissioner of Transportation will approve the project to be included in the TIP. </w:t>
      </w:r>
      <w:r w:rsidR="00B508DE">
        <w:t xml:space="preserve">Contact </w:t>
      </w:r>
      <w:hyperlink r:id="rId32" w:history="1">
        <w:r w:rsidR="00B508DE" w:rsidRPr="00626310">
          <w:rPr>
            <w:rStyle w:val="Hyperlink"/>
          </w:rPr>
          <w:t>Maurice Roers</w:t>
        </w:r>
      </w:hyperlink>
      <w:r w:rsidR="00B508DE">
        <w:t xml:space="preserve"> at MnDOT for more information.</w:t>
      </w:r>
    </w:p>
    <w:p w14:paraId="18656A11" w14:textId="0BD5E706" w:rsidR="007C7C65" w:rsidRPr="008046C5" w:rsidRDefault="007C7C65" w:rsidP="00560D3B">
      <w:pPr>
        <w:pStyle w:val="ListNumbered"/>
      </w:pPr>
      <w:r w:rsidRPr="008046C5">
        <w:t>Prior to Regional Solicitation application submittal, project proposers will need to determine project emissions impacts and identify vehicle miles traveled (VMT) and emissions offsets. Then, TAB will add in offsets generated from other selected Regional Solicitation and Active Transportation projects. The combined local and regional offsets will form the basis of the total offset plan to be reviewed by the Metropolitan Council and certified by MnDOT and its Technical Advisory Committee at least 90 days prior to the project entering the draft TIP. Project sponsors are encouraged to contact Met Council and MnDOT staff several months before the Regional Solicitation application deadline.  </w:t>
      </w:r>
    </w:p>
    <w:p w14:paraId="66FB96CF" w14:textId="65F5A958" w:rsidR="00A76C0D" w:rsidRDefault="0A3F7765" w:rsidP="004410C2">
      <w:pPr>
        <w:pStyle w:val="ListNumbered"/>
        <w:spacing w:after="0"/>
      </w:pPr>
      <w:r w:rsidRPr="0DC5D621">
        <w:t>Roadway l</w:t>
      </w:r>
      <w:r w:rsidR="15433989" w:rsidRPr="0DC5D621">
        <w:t>ane expansion projects</w:t>
      </w:r>
      <w:r w:rsidR="009205C8">
        <w:t xml:space="preserve"> on any system </w:t>
      </w:r>
      <w:r w:rsidR="00C70F00">
        <w:t xml:space="preserve">(city, county, or MnDOT) </w:t>
      </w:r>
      <w:r w:rsidR="15433989" w:rsidRPr="0DC5D621">
        <w:t xml:space="preserve">of greater than one mile are required to follow the </w:t>
      </w:r>
      <w:hyperlink r:id="rId33" w:history="1">
        <w:r w:rsidR="15433989" w:rsidRPr="004410C2">
          <w:rPr>
            <w:rStyle w:val="Hyperlink"/>
          </w:rPr>
          <w:t>Congestion Management Process (CMP) Handbook process</w:t>
        </w:r>
      </w:hyperlink>
      <w:r w:rsidR="15433989" w:rsidRPr="0DC5D621">
        <w:t xml:space="preserve"> for identifying potential congestion solutions and submit materials to Metropolitan Council staff prior to the application deadline. For the 2026 Solicitation, the Metropolitan Council has an on-call consultant who can assist applicants with going through the CMP Handbook.</w:t>
      </w:r>
      <w:r w:rsidR="00A81A63">
        <w:t xml:space="preserve"> Contact </w:t>
      </w:r>
      <w:hyperlink r:id="rId34" w:history="1">
        <w:r w:rsidR="00A81A63" w:rsidRPr="00A81A63">
          <w:rPr>
            <w:rStyle w:val="Hyperlink"/>
          </w:rPr>
          <w:t>Steve Peterson</w:t>
        </w:r>
      </w:hyperlink>
      <w:r w:rsidR="00A81A63">
        <w:t xml:space="preserve"> at the Met Council for more information.</w:t>
      </w:r>
    </w:p>
    <w:p w14:paraId="049C8A57" w14:textId="77777777" w:rsidR="008B1702" w:rsidRDefault="008B1702">
      <w:pPr>
        <w:spacing w:after="0"/>
        <w:rPr>
          <w:rFonts w:eastAsia="MS PGothic" w:cs="Arial"/>
          <w:i/>
          <w:iCs/>
          <w:color w:val="005DAA"/>
          <w:kern w:val="32"/>
          <w:sz w:val="28"/>
          <w:szCs w:val="28"/>
        </w:rPr>
      </w:pPr>
      <w:r>
        <w:br w:type="page"/>
      </w:r>
    </w:p>
    <w:p w14:paraId="4AEFFF57" w14:textId="0E3AE62A" w:rsidR="00A76C0D" w:rsidRPr="00081564" w:rsidRDefault="00BD183A" w:rsidP="00BD183A">
      <w:pPr>
        <w:pStyle w:val="Heading2"/>
        <w:rPr>
          <w:rStyle w:val="Hyperlink"/>
          <w:color w:val="auto"/>
        </w:rPr>
      </w:pPr>
      <w:r>
        <w:lastRenderedPageBreak/>
        <w:t>Transit Projects</w:t>
      </w:r>
    </w:p>
    <w:p w14:paraId="339960CF" w14:textId="5AA2708D" w:rsidR="00471ABC" w:rsidRPr="00C54AB0" w:rsidRDefault="00471ABC" w:rsidP="008046C5">
      <w:pPr>
        <w:pStyle w:val="ListParagraph"/>
        <w:numPr>
          <w:ilvl w:val="0"/>
          <w:numId w:val="17"/>
        </w:numPr>
        <w:spacing w:after="120" w:line="264" w:lineRule="auto"/>
      </w:pPr>
      <w:r>
        <w:t xml:space="preserve">Applicants for transit projects should be aware of the schedule and associated time lag for receiving federal funds for transit vehicle and transit operating projects. Applicants are encouraged to contact </w:t>
      </w:r>
      <w:hyperlink r:id="rId35" w:history="1">
        <w:r w:rsidR="00F370F4" w:rsidRPr="00AE43FD">
          <w:rPr>
            <w:rStyle w:val="Hyperlink"/>
          </w:rPr>
          <w:t>Heather Giesel</w:t>
        </w:r>
        <w:r w:rsidRPr="00AE43FD">
          <w:rPr>
            <w:rStyle w:val="Hyperlink"/>
          </w:rPr>
          <w:t xml:space="preserve"> </w:t>
        </w:r>
      </w:hyperlink>
      <w:r>
        <w:t>at the Metropolitan Council for more details on selecting a preferred program year as part of the application given this time lag.</w:t>
      </w:r>
    </w:p>
    <w:p w14:paraId="4E70125C" w14:textId="62673ECC" w:rsidR="00A76C0D" w:rsidRDefault="00471ABC" w:rsidP="00A01045">
      <w:pPr>
        <w:pStyle w:val="ListParagraph"/>
        <w:numPr>
          <w:ilvl w:val="0"/>
          <w:numId w:val="17"/>
        </w:numPr>
        <w:spacing w:after="0" w:line="264" w:lineRule="auto"/>
      </w:pPr>
      <w:r>
        <w:t xml:space="preserve">Transit projects will be given an opportunity to have their ridership projections reviewed by Metropolitan Council staff prior to submittal </w:t>
      </w:r>
      <w:r w:rsidR="79202FAE">
        <w:t>to</w:t>
      </w:r>
      <w:r>
        <w:t xml:space="preserve"> determine whether the scoring methodology is sound. Any applicant wanting to have an optional review should submit draft ridership information to the </w:t>
      </w:r>
      <w:hyperlink r:id="rId36" w:history="1">
        <w:r w:rsidR="00AE43FD" w:rsidRPr="00FC6BCD">
          <w:rPr>
            <w:rStyle w:val="Hyperlink"/>
          </w:rPr>
          <w:t>Bradley Bobbitt</w:t>
        </w:r>
      </w:hyperlink>
      <w:r w:rsidR="00AE43FD">
        <w:t xml:space="preserve"> </w:t>
      </w:r>
      <w:r>
        <w:t xml:space="preserve">two weeks prior to the application deadline.  </w:t>
      </w:r>
    </w:p>
    <w:p w14:paraId="3C7D398D" w14:textId="6A62F3E7" w:rsidR="00A76C0D" w:rsidRDefault="00A76C0D" w:rsidP="00735A94">
      <w:pPr>
        <w:pStyle w:val="Heading1"/>
        <w:spacing w:after="240"/>
      </w:pPr>
      <w:r>
        <w:t>Project Schedule</w:t>
      </w:r>
    </w:p>
    <w:tbl>
      <w:tblPr>
        <w:tblStyle w:val="MediumShading1-Accent11"/>
        <w:tblW w:w="4871" w:type="pct"/>
        <w:tblLook w:val="0620" w:firstRow="1" w:lastRow="0" w:firstColumn="0" w:lastColumn="0" w:noHBand="1" w:noVBand="1"/>
      </w:tblPr>
      <w:tblGrid>
        <w:gridCol w:w="5749"/>
        <w:gridCol w:w="4051"/>
      </w:tblGrid>
      <w:tr w:rsidR="00735A94" w:rsidRPr="00EC3F75" w14:paraId="05434F2D" w14:textId="77777777" w:rsidTr="00351931">
        <w:trPr>
          <w:cnfStyle w:val="100000000000" w:firstRow="1" w:lastRow="0" w:firstColumn="0" w:lastColumn="0" w:oddVBand="0" w:evenVBand="0" w:oddHBand="0" w:evenHBand="0" w:firstRowFirstColumn="0" w:firstRowLastColumn="0" w:lastRowFirstColumn="0" w:lastRowLastColumn="0"/>
          <w:trHeight w:val="288"/>
        </w:trPr>
        <w:tc>
          <w:tcPr>
            <w:tcW w:w="5749" w:type="dxa"/>
            <w:hideMark/>
          </w:tcPr>
          <w:p w14:paraId="6C5A5D16" w14:textId="47F974C9" w:rsidR="00735A94" w:rsidRPr="00383038" w:rsidRDefault="00735A94" w:rsidP="00CD22C9">
            <w:pPr>
              <w:spacing w:after="0"/>
              <w:rPr>
                <w:color w:val="FFFFFF" w:themeColor="background1"/>
              </w:rPr>
            </w:pPr>
            <w:r>
              <w:rPr>
                <w:color w:val="FFFFFF" w:themeColor="background1"/>
              </w:rPr>
              <w:t>Milestone</w:t>
            </w:r>
          </w:p>
        </w:tc>
        <w:tc>
          <w:tcPr>
            <w:tcW w:w="4051" w:type="dxa"/>
            <w:hideMark/>
          </w:tcPr>
          <w:p w14:paraId="61B203A9" w14:textId="091FAF5C" w:rsidR="00735A94" w:rsidRPr="00383038" w:rsidRDefault="00735A94" w:rsidP="00CD22C9">
            <w:pPr>
              <w:spacing w:after="0"/>
              <w:jc w:val="center"/>
              <w:rPr>
                <w:color w:val="FFFFFF" w:themeColor="background1"/>
              </w:rPr>
            </w:pPr>
            <w:r>
              <w:rPr>
                <w:color w:val="FFFFFF" w:themeColor="background1"/>
              </w:rPr>
              <w:t>Date</w:t>
            </w:r>
          </w:p>
        </w:tc>
      </w:tr>
      <w:tr w:rsidR="00735A94" w:rsidRPr="00EC3F75" w14:paraId="6CC62E60" w14:textId="77777777" w:rsidTr="00351931">
        <w:trPr>
          <w:trHeight w:val="288"/>
        </w:trPr>
        <w:tc>
          <w:tcPr>
            <w:tcW w:w="5749" w:type="dxa"/>
            <w:vAlign w:val="center"/>
            <w:hideMark/>
          </w:tcPr>
          <w:p w14:paraId="02413097" w14:textId="0C136F05" w:rsidR="00735A94" w:rsidRPr="00EC3F75" w:rsidRDefault="00735A94" w:rsidP="00313CA0">
            <w:pPr>
              <w:spacing w:before="120" w:after="120"/>
            </w:pPr>
            <w:r w:rsidRPr="008908D0">
              <w:t>Council approves release of Regional Solicitation</w:t>
            </w:r>
          </w:p>
        </w:tc>
        <w:tc>
          <w:tcPr>
            <w:tcW w:w="4051" w:type="dxa"/>
            <w:hideMark/>
          </w:tcPr>
          <w:p w14:paraId="19F1D006" w14:textId="4656ABF2" w:rsidR="00735A94" w:rsidRPr="00EC3F75" w:rsidRDefault="00735A94" w:rsidP="00313CA0">
            <w:pPr>
              <w:spacing w:before="120" w:after="120"/>
            </w:pPr>
            <w:r>
              <w:t>April 22, 2026</w:t>
            </w:r>
          </w:p>
        </w:tc>
      </w:tr>
      <w:tr w:rsidR="00735A94" w:rsidRPr="00EC3F75" w14:paraId="0A480518" w14:textId="77777777" w:rsidTr="00351931">
        <w:trPr>
          <w:trHeight w:val="288"/>
        </w:trPr>
        <w:tc>
          <w:tcPr>
            <w:tcW w:w="5749" w:type="dxa"/>
            <w:vAlign w:val="center"/>
            <w:hideMark/>
          </w:tcPr>
          <w:p w14:paraId="09EE1290" w14:textId="15F3DDE2" w:rsidR="00735A94" w:rsidRPr="00EC3F75" w:rsidRDefault="00735A94" w:rsidP="00313CA0">
            <w:pPr>
              <w:spacing w:before="120" w:after="120"/>
            </w:pPr>
            <w:hyperlink r:id="rId37" w:history="1">
              <w:r w:rsidRPr="00193E73">
                <w:rPr>
                  <w:rStyle w:val="Hyperlink"/>
                </w:rPr>
                <w:t>Training Opportunities</w:t>
              </w:r>
            </w:hyperlink>
          </w:p>
        </w:tc>
        <w:tc>
          <w:tcPr>
            <w:tcW w:w="4051" w:type="dxa"/>
            <w:hideMark/>
          </w:tcPr>
          <w:p w14:paraId="0D4AD131" w14:textId="5387CE09" w:rsidR="00735A94" w:rsidRPr="00EC3F75" w:rsidRDefault="00735A94" w:rsidP="00313CA0">
            <w:pPr>
              <w:spacing w:before="120" w:after="120"/>
            </w:pPr>
            <w:r>
              <w:t xml:space="preserve">April 24, 2026 – </w:t>
            </w:r>
            <w:r w:rsidR="00EE67DE">
              <w:t xml:space="preserve">June </w:t>
            </w:r>
            <w:r w:rsidR="00CA7F67">
              <w:t>25</w:t>
            </w:r>
            <w:r>
              <w:t>, 2026</w:t>
            </w:r>
          </w:p>
        </w:tc>
      </w:tr>
      <w:tr w:rsidR="00735A94" w:rsidRPr="00EC3F75" w14:paraId="6E0B1FA8" w14:textId="77777777" w:rsidTr="00351931">
        <w:trPr>
          <w:trHeight w:val="288"/>
        </w:trPr>
        <w:tc>
          <w:tcPr>
            <w:tcW w:w="5749" w:type="dxa"/>
            <w:vAlign w:val="center"/>
          </w:tcPr>
          <w:p w14:paraId="07F8175B" w14:textId="0F65E3BB" w:rsidR="00735A94" w:rsidRPr="00EC3F75" w:rsidRDefault="00735A94" w:rsidP="00313CA0">
            <w:pPr>
              <w:spacing w:before="120" w:after="120"/>
            </w:pPr>
            <w:r w:rsidRPr="008908D0">
              <w:t>Online Applications available</w:t>
            </w:r>
          </w:p>
        </w:tc>
        <w:tc>
          <w:tcPr>
            <w:tcW w:w="4051" w:type="dxa"/>
          </w:tcPr>
          <w:p w14:paraId="53A4A2EC" w14:textId="76F5DA5B" w:rsidR="00735A94" w:rsidRPr="00EC3F75" w:rsidRDefault="00735A94" w:rsidP="00313CA0">
            <w:pPr>
              <w:spacing w:before="120" w:after="120"/>
            </w:pPr>
            <w:r>
              <w:t xml:space="preserve">May 7, </w:t>
            </w:r>
            <w:proofErr w:type="gramStart"/>
            <w:r>
              <w:t>2026</w:t>
            </w:r>
            <w:proofErr w:type="gramEnd"/>
            <w:r>
              <w:t xml:space="preserve"> at 9 a.m.</w:t>
            </w:r>
          </w:p>
        </w:tc>
      </w:tr>
      <w:tr w:rsidR="00735A94" w:rsidRPr="00EC3F75" w14:paraId="7048CB4E" w14:textId="77777777" w:rsidTr="00351931">
        <w:trPr>
          <w:trHeight w:val="288"/>
        </w:trPr>
        <w:tc>
          <w:tcPr>
            <w:tcW w:w="5749" w:type="dxa"/>
            <w:vAlign w:val="center"/>
          </w:tcPr>
          <w:p w14:paraId="12F0DEA9" w14:textId="52DE477D" w:rsidR="00735A94" w:rsidRDefault="00735A94" w:rsidP="00313CA0">
            <w:pPr>
              <w:spacing w:before="120" w:after="120"/>
            </w:pPr>
            <w:r w:rsidRPr="008908D0">
              <w:t>Application Deadline</w:t>
            </w:r>
          </w:p>
        </w:tc>
        <w:tc>
          <w:tcPr>
            <w:tcW w:w="4051" w:type="dxa"/>
          </w:tcPr>
          <w:p w14:paraId="3D9AA215" w14:textId="50C6CF1E" w:rsidR="00735A94" w:rsidRDefault="00735A94" w:rsidP="00313CA0">
            <w:pPr>
              <w:spacing w:before="120" w:after="120"/>
            </w:pPr>
            <w:r>
              <w:t xml:space="preserve">June 25, </w:t>
            </w:r>
            <w:proofErr w:type="gramStart"/>
            <w:r>
              <w:t>2026</w:t>
            </w:r>
            <w:proofErr w:type="gramEnd"/>
            <w:r>
              <w:t xml:space="preserve"> at 4 p.m.</w:t>
            </w:r>
          </w:p>
        </w:tc>
      </w:tr>
      <w:tr w:rsidR="00735A94" w:rsidRPr="00EC3F75" w14:paraId="27DE53FC" w14:textId="77777777" w:rsidTr="00351931">
        <w:trPr>
          <w:trHeight w:val="288"/>
        </w:trPr>
        <w:tc>
          <w:tcPr>
            <w:tcW w:w="5749" w:type="dxa"/>
            <w:vAlign w:val="center"/>
          </w:tcPr>
          <w:p w14:paraId="6012E47D" w14:textId="346955FC" w:rsidR="00735A94" w:rsidRDefault="00735A94" w:rsidP="00313CA0">
            <w:pPr>
              <w:spacing w:before="120" w:after="120"/>
            </w:pPr>
            <w:r w:rsidRPr="008908D0">
              <w:t>Scoring Committees Meet</w:t>
            </w:r>
          </w:p>
        </w:tc>
        <w:tc>
          <w:tcPr>
            <w:tcW w:w="4051" w:type="dxa"/>
          </w:tcPr>
          <w:p w14:paraId="4FD48AD1" w14:textId="760487B0" w:rsidR="00735A94" w:rsidRDefault="00735A94" w:rsidP="00313CA0">
            <w:pPr>
              <w:spacing w:before="120" w:after="120"/>
            </w:pPr>
            <w:r w:rsidRPr="008908D0">
              <w:t>Summer 2026</w:t>
            </w:r>
          </w:p>
        </w:tc>
      </w:tr>
      <w:tr w:rsidR="00735A94" w:rsidRPr="00EC3F75" w14:paraId="1FA594B2" w14:textId="77777777" w:rsidTr="00351931">
        <w:trPr>
          <w:trHeight w:val="288"/>
        </w:trPr>
        <w:tc>
          <w:tcPr>
            <w:tcW w:w="5749" w:type="dxa"/>
            <w:vAlign w:val="center"/>
          </w:tcPr>
          <w:p w14:paraId="248FE143" w14:textId="48147AA4" w:rsidR="00735A94" w:rsidRDefault="00735A94" w:rsidP="00313CA0">
            <w:pPr>
              <w:spacing w:before="120" w:after="120"/>
            </w:pPr>
            <w:r w:rsidRPr="008908D0">
              <w:t>Scoring Appeals Deadline</w:t>
            </w:r>
          </w:p>
        </w:tc>
        <w:tc>
          <w:tcPr>
            <w:tcW w:w="4051" w:type="dxa"/>
          </w:tcPr>
          <w:p w14:paraId="3EC17B57" w14:textId="26D66A51" w:rsidR="00735A94" w:rsidRDefault="00735A94" w:rsidP="00313CA0">
            <w:pPr>
              <w:spacing w:before="120" w:after="120"/>
            </w:pPr>
            <w:r>
              <w:t xml:space="preserve">Fall </w:t>
            </w:r>
            <w:r w:rsidRPr="008908D0">
              <w:t>2026</w:t>
            </w:r>
          </w:p>
        </w:tc>
      </w:tr>
      <w:tr w:rsidR="00735A94" w:rsidRPr="00EC3F75" w14:paraId="38A817BD" w14:textId="77777777" w:rsidTr="00351931">
        <w:trPr>
          <w:trHeight w:val="288"/>
        </w:trPr>
        <w:tc>
          <w:tcPr>
            <w:tcW w:w="5749" w:type="dxa"/>
            <w:vAlign w:val="center"/>
          </w:tcPr>
          <w:p w14:paraId="3DB98DE9" w14:textId="54B1B41A" w:rsidR="00735A94" w:rsidRDefault="00735A94" w:rsidP="00313CA0">
            <w:pPr>
              <w:spacing w:before="120" w:after="120"/>
            </w:pPr>
            <w:r w:rsidRPr="008908D0">
              <w:t>TAB Selection of Projects</w:t>
            </w:r>
          </w:p>
        </w:tc>
        <w:tc>
          <w:tcPr>
            <w:tcW w:w="4051" w:type="dxa"/>
          </w:tcPr>
          <w:p w14:paraId="1285F8D7" w14:textId="0AB9772D" w:rsidR="00735A94" w:rsidRDefault="00735A94" w:rsidP="00313CA0">
            <w:pPr>
              <w:spacing w:before="120" w:after="120"/>
            </w:pPr>
            <w:r>
              <w:t>Winter</w:t>
            </w:r>
            <w:r w:rsidRPr="008908D0">
              <w:t xml:space="preserve"> 2026</w:t>
            </w:r>
          </w:p>
        </w:tc>
      </w:tr>
    </w:tbl>
    <w:p w14:paraId="02F93D1A" w14:textId="77777777" w:rsidR="00A76C0D" w:rsidRDefault="00A76C0D" w:rsidP="0037493C">
      <w:pPr>
        <w:pStyle w:val="Heading1"/>
      </w:pPr>
      <w:r>
        <w:t>Technical Assistance Contacts</w:t>
      </w:r>
    </w:p>
    <w:p w14:paraId="2EA9BA0E" w14:textId="0F951CAE" w:rsidR="00A76C0D" w:rsidRDefault="2F48D0BE" w:rsidP="004B53AD">
      <w:r>
        <w:t xml:space="preserve">Table 6 provides contacts for technical assistance in providing necessary data </w:t>
      </w:r>
      <w:r w:rsidR="004B53AD">
        <w:t>to</w:t>
      </w:r>
      <w:r>
        <w:t xml:space="preserve"> address various prioritizing criteria. Before contacting any technical expert below, please use existing local sources. Local experts in many cases are the appropriate contact for much of the data needed to respond to measures. In some instances, it may take five or more workdays to provide the requested data. Please request data as soon as possible.</w:t>
      </w:r>
    </w:p>
    <w:p w14:paraId="6F640BDA" w14:textId="7AA4DA73" w:rsidR="00E10B19" w:rsidRDefault="00E10B19" w:rsidP="004B53AD">
      <w:r>
        <w:t xml:space="preserve">For general questions, please contact </w:t>
      </w:r>
      <w:hyperlink r:id="rId38" w:history="1">
        <w:r w:rsidR="00B35974" w:rsidRPr="00E20BF2">
          <w:rPr>
            <w:rStyle w:val="Hyperlink"/>
          </w:rPr>
          <w:t>RegionalSolicitationSupport@metc.state.mn.us</w:t>
        </w:r>
      </w:hyperlink>
      <w:r w:rsidR="00B35974">
        <w:t>. This email is staffed Monday through Friday from 7 a.m. to 5 p.m.</w:t>
      </w:r>
    </w:p>
    <w:p w14:paraId="34EFDED9" w14:textId="472CD9CE" w:rsidR="002E2608" w:rsidRDefault="002E2608" w:rsidP="002E2608">
      <w:pPr>
        <w:pStyle w:val="Heading2"/>
      </w:pPr>
      <w:r>
        <w:t xml:space="preserve">Need special </w:t>
      </w:r>
      <w:proofErr w:type="gramStart"/>
      <w:r w:rsidR="002C627D">
        <w:t>accommodations</w:t>
      </w:r>
      <w:proofErr w:type="gramEnd"/>
      <w:r>
        <w:t>?</w:t>
      </w:r>
    </w:p>
    <w:p w14:paraId="4C516F85" w14:textId="094B6951" w:rsidR="0037493C" w:rsidRDefault="00FF0018" w:rsidP="004B53AD">
      <w:r>
        <w:t xml:space="preserve">To request special accommodation for submitting Regional Solicitation applications, please email </w:t>
      </w:r>
      <w:hyperlink r:id="rId39" w:history="1">
        <w:r w:rsidR="0037493C" w:rsidRPr="00AA1742">
          <w:rPr>
            <w:rStyle w:val="Hyperlink"/>
          </w:rPr>
          <w:t>RegionalSolicitationSupport@metc.state.mn.us</w:t>
        </w:r>
      </w:hyperlink>
      <w:r w:rsidR="0037493C">
        <w:t>.</w:t>
      </w:r>
    </w:p>
    <w:p w14:paraId="0726CEA5" w14:textId="3A60E1E1" w:rsidR="0037493C" w:rsidRDefault="00953400" w:rsidP="00BA2DD9">
      <w:pPr>
        <w:pStyle w:val="Heading1"/>
      </w:pPr>
      <w:r>
        <w:t>Application Overviews</w:t>
      </w:r>
    </w:p>
    <w:p w14:paraId="65DC63AD" w14:textId="48CDAA99" w:rsidR="00BA2DD9" w:rsidRDefault="00953400" w:rsidP="0090752A">
      <w:r>
        <w:t xml:space="preserve">After Table 6, </w:t>
      </w:r>
      <w:r w:rsidR="00A220DD">
        <w:t xml:space="preserve">overviews of </w:t>
      </w:r>
      <w:r>
        <w:t>each application categor</w:t>
      </w:r>
      <w:r w:rsidR="00A220DD">
        <w:t>y</w:t>
      </w:r>
      <w:r w:rsidR="00EA5058">
        <w:t xml:space="preserve"> included in the 2026 Regional Solicitation and Active Transportation Solicitation are provided. These overviews</w:t>
      </w:r>
      <w:r w:rsidR="00BA2DD9">
        <w:t xml:space="preserve"> include definitions, examples, and scoring overviews of each application category. </w:t>
      </w:r>
    </w:p>
    <w:p w14:paraId="7F520356" w14:textId="77777777" w:rsidR="001C2782" w:rsidRDefault="001C2782" w:rsidP="0090752A">
      <w:pPr>
        <w:rPr>
          <w:szCs w:val="24"/>
        </w:rPr>
      </w:pPr>
      <w:r>
        <w:br w:type="page"/>
      </w:r>
    </w:p>
    <w:p w14:paraId="405379FD" w14:textId="4FFEDC30" w:rsidR="00A76C0D" w:rsidRDefault="2F48D0BE" w:rsidP="00EA5058">
      <w:pPr>
        <w:pStyle w:val="Caption"/>
        <w:spacing w:before="0"/>
        <w:ind w:left="-450"/>
      </w:pPr>
      <w:r>
        <w:lastRenderedPageBreak/>
        <w:t>Table 6. Technical Assistance Contacts</w:t>
      </w:r>
    </w:p>
    <w:tbl>
      <w:tblPr>
        <w:tblStyle w:val="GridTable2-Accent51"/>
        <w:tblW w:w="5501" w:type="pct"/>
        <w:tblInd w:w="-450" w:type="dxa"/>
        <w:tblLook w:val="05A0" w:firstRow="1" w:lastRow="0" w:firstColumn="1" w:lastColumn="1" w:noHBand="0" w:noVBand="1"/>
      </w:tblPr>
      <w:tblGrid>
        <w:gridCol w:w="2611"/>
        <w:gridCol w:w="1801"/>
        <w:gridCol w:w="1326"/>
        <w:gridCol w:w="3713"/>
        <w:gridCol w:w="1639"/>
      </w:tblGrid>
      <w:tr w:rsidR="002E2608" w:rsidRPr="0019202F" w14:paraId="792C7F59" w14:textId="77777777" w:rsidTr="00EA505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77" w:type="pct"/>
            <w:shd w:val="clear" w:color="auto" w:fill="005DAA"/>
            <w:vAlign w:val="center"/>
          </w:tcPr>
          <w:p w14:paraId="174A0E79" w14:textId="77777777" w:rsidR="002E2608" w:rsidRPr="002E2608" w:rsidRDefault="002E2608" w:rsidP="002E2608">
            <w:pPr>
              <w:suppressAutoHyphens/>
              <w:spacing w:before="40" w:after="40"/>
              <w:rPr>
                <w:color w:val="FFFFFF"/>
                <w:sz w:val="20"/>
                <w:szCs w:val="20"/>
              </w:rPr>
            </w:pPr>
            <w:r w:rsidRPr="002E2608">
              <w:rPr>
                <w:color w:val="FFFFFF"/>
                <w:sz w:val="20"/>
                <w:szCs w:val="20"/>
              </w:rPr>
              <w:t>Subject</w:t>
            </w:r>
          </w:p>
        </w:tc>
        <w:tc>
          <w:tcPr>
            <w:tcW w:w="812" w:type="pct"/>
            <w:shd w:val="clear" w:color="auto" w:fill="005DAA"/>
            <w:vAlign w:val="center"/>
          </w:tcPr>
          <w:p w14:paraId="0F19F2C7" w14:textId="77777777" w:rsidR="002E2608" w:rsidRPr="002E2608" w:rsidRDefault="002E2608" w:rsidP="002E2608">
            <w:pPr>
              <w:suppressAutoHyphens/>
              <w:spacing w:before="40" w:after="40"/>
              <w:cnfStyle w:val="100000000000" w:firstRow="1" w:lastRow="0" w:firstColumn="0" w:lastColumn="0" w:oddVBand="0" w:evenVBand="0" w:oddHBand="0" w:evenHBand="0" w:firstRowFirstColumn="0" w:firstRowLastColumn="0" w:lastRowFirstColumn="0" w:lastRowLastColumn="0"/>
              <w:rPr>
                <w:color w:val="FFFFFF"/>
                <w:sz w:val="20"/>
                <w:szCs w:val="20"/>
              </w:rPr>
            </w:pPr>
            <w:r w:rsidRPr="002E2608">
              <w:rPr>
                <w:color w:val="FFFFFF"/>
                <w:sz w:val="20"/>
                <w:szCs w:val="20"/>
              </w:rPr>
              <w:t>Name</w:t>
            </w:r>
          </w:p>
        </w:tc>
        <w:tc>
          <w:tcPr>
            <w:tcW w:w="598" w:type="pct"/>
            <w:shd w:val="clear" w:color="auto" w:fill="005DAA"/>
            <w:vAlign w:val="center"/>
          </w:tcPr>
          <w:p w14:paraId="71838652" w14:textId="77777777" w:rsidR="002E2608" w:rsidRPr="002E2608" w:rsidRDefault="002E2608" w:rsidP="002E2608">
            <w:pPr>
              <w:suppressAutoHyphens/>
              <w:spacing w:before="40" w:after="40"/>
              <w:cnfStyle w:val="100000000000" w:firstRow="1" w:lastRow="0" w:firstColumn="0" w:lastColumn="0" w:oddVBand="0" w:evenVBand="0" w:oddHBand="0" w:evenHBand="0" w:firstRowFirstColumn="0" w:firstRowLastColumn="0" w:lastRowFirstColumn="0" w:lastRowLastColumn="0"/>
              <w:rPr>
                <w:color w:val="FFFFFF"/>
                <w:sz w:val="20"/>
                <w:szCs w:val="20"/>
              </w:rPr>
            </w:pPr>
            <w:r w:rsidRPr="002E2608">
              <w:rPr>
                <w:color w:val="FFFFFF"/>
                <w:sz w:val="20"/>
                <w:szCs w:val="20"/>
              </w:rPr>
              <w:t>Agency</w:t>
            </w:r>
          </w:p>
        </w:tc>
        <w:tc>
          <w:tcPr>
            <w:tcW w:w="1674" w:type="pct"/>
            <w:shd w:val="clear" w:color="auto" w:fill="005DAA"/>
            <w:vAlign w:val="center"/>
          </w:tcPr>
          <w:p w14:paraId="5DC4E34F" w14:textId="77777777" w:rsidR="002E2608" w:rsidRPr="002E2608" w:rsidRDefault="002E2608" w:rsidP="002E2608">
            <w:pPr>
              <w:suppressAutoHyphens/>
              <w:spacing w:before="40" w:after="40"/>
              <w:cnfStyle w:val="100000000000" w:firstRow="1" w:lastRow="0" w:firstColumn="0" w:lastColumn="0" w:oddVBand="0" w:evenVBand="0" w:oddHBand="0" w:evenHBand="0" w:firstRowFirstColumn="0" w:firstRowLastColumn="0" w:lastRowFirstColumn="0" w:lastRowLastColumn="0"/>
              <w:rPr>
                <w:color w:val="FFFFFF"/>
                <w:sz w:val="20"/>
                <w:szCs w:val="20"/>
              </w:rPr>
            </w:pPr>
            <w:r w:rsidRPr="002E2608">
              <w:rPr>
                <w:color w:val="FFFFFF"/>
                <w:sz w:val="20"/>
                <w:szCs w:val="20"/>
              </w:rPr>
              <w:t>Email</w:t>
            </w:r>
          </w:p>
        </w:tc>
        <w:tc>
          <w:tcPr>
            <w:cnfStyle w:val="000100000000" w:firstRow="0" w:lastRow="0" w:firstColumn="0" w:lastColumn="1" w:oddVBand="0" w:evenVBand="0" w:oddHBand="0" w:evenHBand="0" w:firstRowFirstColumn="0" w:firstRowLastColumn="0" w:lastRowFirstColumn="0" w:lastRowLastColumn="0"/>
            <w:tcW w:w="739" w:type="pct"/>
            <w:shd w:val="clear" w:color="auto" w:fill="005DAA"/>
            <w:vAlign w:val="center"/>
          </w:tcPr>
          <w:p w14:paraId="655140B6" w14:textId="77777777" w:rsidR="002E2608" w:rsidRPr="002E2608" w:rsidRDefault="002E2608" w:rsidP="002E2608">
            <w:pPr>
              <w:suppressAutoHyphens/>
              <w:spacing w:before="40" w:after="40"/>
              <w:rPr>
                <w:color w:val="FFFFFF"/>
                <w:sz w:val="20"/>
                <w:szCs w:val="20"/>
              </w:rPr>
            </w:pPr>
            <w:r w:rsidRPr="002E2608">
              <w:rPr>
                <w:color w:val="FFFFFF"/>
                <w:sz w:val="20"/>
                <w:szCs w:val="20"/>
              </w:rPr>
              <w:t>Phone Number</w:t>
            </w:r>
          </w:p>
        </w:tc>
      </w:tr>
      <w:tr w:rsidR="0019202F" w:rsidRPr="002E2608" w14:paraId="1EFFCF43"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3B1E757D" w14:textId="77777777" w:rsidR="002E2608" w:rsidRPr="002E2608" w:rsidRDefault="002E2608" w:rsidP="00894982">
            <w:pPr>
              <w:suppressAutoHyphens/>
              <w:spacing w:beforeLines="30" w:before="72" w:afterLines="30" w:after="72"/>
              <w:rPr>
                <w:sz w:val="20"/>
                <w:szCs w:val="20"/>
              </w:rPr>
            </w:pPr>
            <w:r w:rsidRPr="002E2608">
              <w:rPr>
                <w:sz w:val="20"/>
                <w:szCs w:val="20"/>
              </w:rPr>
              <w:t>General – Regional Solicitation</w:t>
            </w:r>
          </w:p>
        </w:tc>
        <w:tc>
          <w:tcPr>
            <w:tcW w:w="812" w:type="pct"/>
            <w:vAlign w:val="center"/>
          </w:tcPr>
          <w:p w14:paraId="1A8E1581"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Bethany Brandt-Sargent</w:t>
            </w:r>
          </w:p>
        </w:tc>
        <w:tc>
          <w:tcPr>
            <w:tcW w:w="598" w:type="pct"/>
            <w:vAlign w:val="center"/>
          </w:tcPr>
          <w:p w14:paraId="57DBA837"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20D12238"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hyperlink r:id="rId40" w:history="1">
              <w:r w:rsidRPr="002E2608">
                <w:rPr>
                  <w:sz w:val="20"/>
                  <w:szCs w:val="20"/>
                  <w:u w:val="single"/>
                </w:rPr>
                <w:t>Bethany.brandt-sargent@metc.state.mn.us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121A88D3"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651-602-1725</w:t>
            </w:r>
          </w:p>
        </w:tc>
      </w:tr>
      <w:tr w:rsidR="0019202F" w:rsidRPr="002E2608" w14:paraId="6A9484CE"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56BEF130" w14:textId="77777777" w:rsidR="002E2608" w:rsidRPr="002E2608" w:rsidRDefault="002E2608" w:rsidP="00894982">
            <w:pPr>
              <w:suppressAutoHyphens/>
              <w:spacing w:beforeLines="30" w:before="72" w:afterLines="30" w:after="72"/>
              <w:rPr>
                <w:sz w:val="20"/>
                <w:szCs w:val="20"/>
              </w:rPr>
            </w:pPr>
            <w:r w:rsidRPr="002E2608">
              <w:rPr>
                <w:sz w:val="20"/>
                <w:szCs w:val="20"/>
              </w:rPr>
              <w:t>General – Active Transportation</w:t>
            </w:r>
          </w:p>
        </w:tc>
        <w:tc>
          <w:tcPr>
            <w:tcW w:w="812" w:type="pct"/>
            <w:vAlign w:val="center"/>
          </w:tcPr>
          <w:p w14:paraId="7637B2F3"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Joe Widing</w:t>
            </w:r>
          </w:p>
        </w:tc>
        <w:tc>
          <w:tcPr>
            <w:tcW w:w="598" w:type="pct"/>
            <w:vAlign w:val="center"/>
          </w:tcPr>
          <w:p w14:paraId="51D8FF6D"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0CCBC8D9"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r w:rsidRPr="002E2608">
              <w:rPr>
                <w:sz w:val="20"/>
                <w:szCs w:val="20"/>
                <w:u w:val="single"/>
              </w:rPr>
              <w:t>Joseph.widing@metc.state.mn.us</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0E4F4EB"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651-602-1822</w:t>
            </w:r>
          </w:p>
        </w:tc>
      </w:tr>
      <w:tr w:rsidR="0019202F" w:rsidRPr="002E2608" w14:paraId="74666E45"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5EB7BDD5" w14:textId="77777777" w:rsidR="002E2608" w:rsidRPr="002E2608" w:rsidRDefault="002E2608" w:rsidP="00894982">
            <w:pPr>
              <w:suppressAutoHyphens/>
              <w:spacing w:beforeLines="30" w:before="72" w:afterLines="30" w:after="72"/>
              <w:rPr>
                <w:sz w:val="20"/>
                <w:szCs w:val="20"/>
              </w:rPr>
            </w:pPr>
            <w:r w:rsidRPr="002E2608">
              <w:rPr>
                <w:sz w:val="20"/>
                <w:szCs w:val="20"/>
              </w:rPr>
              <w:t>TIP Descriptions</w:t>
            </w:r>
          </w:p>
        </w:tc>
        <w:tc>
          <w:tcPr>
            <w:tcW w:w="812" w:type="pct"/>
            <w:vAlign w:val="center"/>
          </w:tcPr>
          <w:p w14:paraId="49FA885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Joe Barbeau</w:t>
            </w:r>
          </w:p>
        </w:tc>
        <w:tc>
          <w:tcPr>
            <w:tcW w:w="598" w:type="pct"/>
            <w:vAlign w:val="center"/>
          </w:tcPr>
          <w:p w14:paraId="2B4E5EE2"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789ACAA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41" w:history="1">
              <w:r w:rsidRPr="002E2608">
                <w:rPr>
                  <w:sz w:val="20"/>
                  <w:szCs w:val="20"/>
                  <w:u w:val="single"/>
                </w:rPr>
                <w:t>Joseph.barbeau@metc.state.mn.us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655E7975"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602-1705</w:t>
            </w:r>
          </w:p>
        </w:tc>
      </w:tr>
      <w:tr w:rsidR="0019202F" w:rsidRPr="002E2608" w14:paraId="2CDB92E3"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18A13512" w14:textId="77777777" w:rsidR="002E2608" w:rsidRPr="002E2608" w:rsidRDefault="002E2608" w:rsidP="00894982">
            <w:pPr>
              <w:suppressAutoHyphens/>
              <w:spacing w:beforeLines="30" w:before="72" w:afterLines="30" w:after="72"/>
              <w:rPr>
                <w:sz w:val="20"/>
                <w:szCs w:val="20"/>
              </w:rPr>
            </w:pPr>
            <w:r w:rsidRPr="002E2608">
              <w:rPr>
                <w:sz w:val="20"/>
                <w:szCs w:val="20"/>
              </w:rPr>
              <w:t>Synchro</w:t>
            </w:r>
          </w:p>
        </w:tc>
        <w:tc>
          <w:tcPr>
            <w:tcW w:w="812" w:type="pct"/>
            <w:vAlign w:val="center"/>
          </w:tcPr>
          <w:p w14:paraId="7B7DAB82"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Kevin Sommers</w:t>
            </w:r>
          </w:p>
        </w:tc>
        <w:tc>
          <w:tcPr>
            <w:tcW w:w="598" w:type="pct"/>
            <w:vAlign w:val="center"/>
          </w:tcPr>
          <w:p w14:paraId="1F298E5E"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MnDOT</w:t>
            </w:r>
          </w:p>
        </w:tc>
        <w:tc>
          <w:tcPr>
            <w:tcW w:w="1674" w:type="pct"/>
            <w:vAlign w:val="center"/>
          </w:tcPr>
          <w:p w14:paraId="1847749B"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42" w:history="1">
              <w:r w:rsidRPr="002E2608">
                <w:rPr>
                  <w:sz w:val="20"/>
                  <w:szCs w:val="20"/>
                  <w:u w:val="single"/>
                </w:rPr>
                <w:t>Kevin.sommers@state.mn.us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8512A9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234-7844</w:t>
            </w:r>
          </w:p>
        </w:tc>
      </w:tr>
      <w:tr w:rsidR="0019202F" w:rsidRPr="002E2608" w14:paraId="33248FA5"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7E9ED27F" w14:textId="77777777" w:rsidR="002E2608" w:rsidRPr="002E2608" w:rsidRDefault="002E2608" w:rsidP="00894982">
            <w:pPr>
              <w:suppressAutoHyphens/>
              <w:spacing w:beforeLines="30" w:before="72" w:afterLines="30" w:after="72"/>
              <w:rPr>
                <w:sz w:val="20"/>
                <w:szCs w:val="20"/>
              </w:rPr>
            </w:pPr>
            <w:r w:rsidRPr="002E2608">
              <w:rPr>
                <w:sz w:val="20"/>
                <w:szCs w:val="20"/>
              </w:rPr>
              <w:t>Crashes</w:t>
            </w:r>
          </w:p>
        </w:tc>
        <w:tc>
          <w:tcPr>
            <w:tcW w:w="812" w:type="pct"/>
            <w:vAlign w:val="center"/>
          </w:tcPr>
          <w:p w14:paraId="2DFE4FA5"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2E2608">
              <w:rPr>
                <w:sz w:val="20"/>
                <w:szCs w:val="20"/>
              </w:rPr>
              <w:t>Cherzon</w:t>
            </w:r>
            <w:proofErr w:type="spellEnd"/>
            <w:r w:rsidRPr="002E2608">
              <w:rPr>
                <w:sz w:val="20"/>
                <w:szCs w:val="20"/>
              </w:rPr>
              <w:t xml:space="preserve"> Riley</w:t>
            </w:r>
          </w:p>
        </w:tc>
        <w:tc>
          <w:tcPr>
            <w:tcW w:w="598" w:type="pct"/>
            <w:vAlign w:val="center"/>
          </w:tcPr>
          <w:p w14:paraId="10422A03"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MnDOT</w:t>
            </w:r>
          </w:p>
        </w:tc>
        <w:tc>
          <w:tcPr>
            <w:tcW w:w="1674" w:type="pct"/>
            <w:vAlign w:val="center"/>
          </w:tcPr>
          <w:p w14:paraId="555269FD"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43" w:history="1">
              <w:r w:rsidRPr="002E2608">
                <w:rPr>
                  <w:sz w:val="20"/>
                  <w:szCs w:val="20"/>
                  <w:u w:val="single"/>
                </w:rPr>
                <w:t>Cherzon.riley@state.mn.us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55B8F1E4"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(612) 322-1080</w:t>
            </w:r>
          </w:p>
        </w:tc>
      </w:tr>
      <w:tr w:rsidR="0019202F" w:rsidRPr="002E2608" w14:paraId="5766EDD9"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1CA7824A" w14:textId="77777777" w:rsidR="002E2608" w:rsidRPr="002E2608" w:rsidRDefault="002E2608" w:rsidP="00894982">
            <w:pPr>
              <w:suppressAutoHyphens/>
              <w:spacing w:beforeLines="30" w:before="72" w:afterLines="30" w:after="72"/>
              <w:rPr>
                <w:sz w:val="20"/>
                <w:szCs w:val="20"/>
              </w:rPr>
            </w:pPr>
            <w:r w:rsidRPr="002E2608">
              <w:rPr>
                <w:sz w:val="20"/>
                <w:szCs w:val="20"/>
              </w:rPr>
              <w:t>Trunk Highway Traffic Signals</w:t>
            </w:r>
          </w:p>
        </w:tc>
        <w:tc>
          <w:tcPr>
            <w:tcW w:w="812" w:type="pct"/>
            <w:vAlign w:val="center"/>
          </w:tcPr>
          <w:p w14:paraId="613E0016"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Derek Lahrke</w:t>
            </w:r>
          </w:p>
        </w:tc>
        <w:tc>
          <w:tcPr>
            <w:tcW w:w="598" w:type="pct"/>
            <w:vAlign w:val="center"/>
          </w:tcPr>
          <w:p w14:paraId="22963678"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MnDOT</w:t>
            </w:r>
          </w:p>
        </w:tc>
        <w:tc>
          <w:tcPr>
            <w:tcW w:w="1674" w:type="pct"/>
            <w:vAlign w:val="center"/>
          </w:tcPr>
          <w:p w14:paraId="77B45156"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44" w:history="1">
              <w:r w:rsidRPr="002E2608">
                <w:rPr>
                  <w:sz w:val="20"/>
                  <w:szCs w:val="20"/>
                  <w:u w:val="single"/>
                </w:rPr>
                <w:t>Derek.lehrke@state.mn.us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5BA155D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234-7819</w:t>
            </w:r>
          </w:p>
        </w:tc>
      </w:tr>
      <w:tr w:rsidR="0019202F" w:rsidRPr="002E2608" w14:paraId="387C5760"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22BF8862" w14:textId="77777777" w:rsidR="002E2608" w:rsidRPr="002E2608" w:rsidRDefault="002E2608" w:rsidP="00894982">
            <w:pPr>
              <w:suppressAutoHyphens/>
              <w:spacing w:beforeLines="30" w:before="72" w:afterLines="30" w:after="72"/>
              <w:rPr>
                <w:sz w:val="20"/>
                <w:szCs w:val="20"/>
              </w:rPr>
            </w:pPr>
            <w:r w:rsidRPr="002E2608">
              <w:rPr>
                <w:sz w:val="20"/>
                <w:szCs w:val="20"/>
              </w:rPr>
              <w:t>State Aid Standards</w:t>
            </w:r>
          </w:p>
        </w:tc>
        <w:tc>
          <w:tcPr>
            <w:tcW w:w="812" w:type="pct"/>
            <w:vAlign w:val="center"/>
          </w:tcPr>
          <w:p w14:paraId="28DFD651"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Colleen Brown</w:t>
            </w:r>
          </w:p>
        </w:tc>
        <w:tc>
          <w:tcPr>
            <w:tcW w:w="598" w:type="pct"/>
            <w:vAlign w:val="center"/>
          </w:tcPr>
          <w:p w14:paraId="2E2DBC8A"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MnDOT</w:t>
            </w:r>
          </w:p>
        </w:tc>
        <w:tc>
          <w:tcPr>
            <w:tcW w:w="1674" w:type="pct"/>
            <w:vAlign w:val="center"/>
          </w:tcPr>
          <w:p w14:paraId="2BA6CF2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45" w:history="1">
              <w:r w:rsidRPr="002E2608">
                <w:rPr>
                  <w:sz w:val="20"/>
                  <w:szCs w:val="20"/>
                  <w:u w:val="single"/>
                </w:rPr>
                <w:t>Colleen.brown@state.mn.us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3966D168"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234-7779</w:t>
            </w:r>
          </w:p>
        </w:tc>
      </w:tr>
      <w:tr w:rsidR="0019202F" w:rsidRPr="002E2608" w14:paraId="662A98D4"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1530DA7D" w14:textId="77777777" w:rsidR="002E2608" w:rsidRPr="002E2608" w:rsidRDefault="002E2608" w:rsidP="00894982">
            <w:pPr>
              <w:suppressAutoHyphens/>
              <w:spacing w:beforeLines="30" w:before="72" w:afterLines="30" w:after="72"/>
              <w:rPr>
                <w:sz w:val="20"/>
                <w:szCs w:val="20"/>
              </w:rPr>
            </w:pPr>
            <w:r w:rsidRPr="002E2608">
              <w:rPr>
                <w:sz w:val="20"/>
                <w:szCs w:val="20"/>
              </w:rPr>
              <w:t>Bikeway/Walkway Standards</w:t>
            </w:r>
          </w:p>
        </w:tc>
        <w:tc>
          <w:tcPr>
            <w:tcW w:w="812" w:type="pct"/>
            <w:vAlign w:val="center"/>
          </w:tcPr>
          <w:p w14:paraId="0E3AB45F"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Molly McCormick</w:t>
            </w:r>
          </w:p>
        </w:tc>
        <w:tc>
          <w:tcPr>
            <w:tcW w:w="598" w:type="pct"/>
            <w:vAlign w:val="center"/>
          </w:tcPr>
          <w:p w14:paraId="7D265482"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MnDOT</w:t>
            </w:r>
          </w:p>
        </w:tc>
        <w:tc>
          <w:tcPr>
            <w:tcW w:w="1674" w:type="pct"/>
            <w:vAlign w:val="center"/>
          </w:tcPr>
          <w:p w14:paraId="428501AD"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46" w:history="1">
              <w:r w:rsidRPr="002E2608">
                <w:rPr>
                  <w:sz w:val="20"/>
                  <w:szCs w:val="20"/>
                  <w:u w:val="single"/>
                </w:rPr>
                <w:t>Molly.mccormick@state.mn.us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39E2CD5"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234-7793</w:t>
            </w:r>
          </w:p>
        </w:tc>
      </w:tr>
      <w:tr w:rsidR="0019202F" w:rsidRPr="002E2608" w14:paraId="4064D376"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0B35F8BA" w14:textId="77777777" w:rsidR="002E2608" w:rsidRPr="002E2608" w:rsidRDefault="002E2608" w:rsidP="00894982">
            <w:pPr>
              <w:suppressAutoHyphens/>
              <w:spacing w:beforeLines="30" w:before="72" w:afterLines="30" w:after="72"/>
              <w:rPr>
                <w:sz w:val="20"/>
                <w:szCs w:val="20"/>
              </w:rPr>
            </w:pPr>
            <w:r w:rsidRPr="002E2608">
              <w:rPr>
                <w:sz w:val="20"/>
                <w:szCs w:val="20"/>
              </w:rPr>
              <w:t>Interchange Approvals</w:t>
            </w:r>
          </w:p>
        </w:tc>
        <w:tc>
          <w:tcPr>
            <w:tcW w:w="812" w:type="pct"/>
            <w:vAlign w:val="center"/>
          </w:tcPr>
          <w:p w14:paraId="3093A6C7"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Steve Peterson</w:t>
            </w:r>
          </w:p>
        </w:tc>
        <w:tc>
          <w:tcPr>
            <w:tcW w:w="598" w:type="pct"/>
            <w:vAlign w:val="center"/>
          </w:tcPr>
          <w:p w14:paraId="2B71E468"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4B542187" w14:textId="5E4C3A7D" w:rsidR="002E2608" w:rsidRPr="002E2608" w:rsidRDefault="002360D5"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r w:rsidRPr="00894982">
              <w:rPr>
                <w:sz w:val="20"/>
                <w:szCs w:val="20"/>
              </w:rPr>
              <w:t>r</w:t>
            </w:r>
            <w:hyperlink r:id="rId47" w:history="1">
              <w:r w:rsidR="002E2608" w:rsidRPr="002E2608">
                <w:rPr>
                  <w:rStyle w:val="Hyperlink"/>
                  <w:color w:val="505150"/>
                  <w:sz w:val="20"/>
                  <w:szCs w:val="20"/>
                </w:rPr>
                <w:t>Steve</w:t>
              </w:r>
              <w:r w:rsidRPr="00894982">
                <w:rPr>
                  <w:rStyle w:val="Hyperlink"/>
                  <w:color w:val="505150"/>
                  <w:sz w:val="20"/>
                  <w:szCs w:val="20"/>
                </w:rPr>
                <w:t>n</w:t>
              </w:r>
              <w:r w:rsidR="002E2608" w:rsidRPr="002E2608">
                <w:rPr>
                  <w:rStyle w:val="Hyperlink"/>
                  <w:color w:val="505150"/>
                  <w:sz w:val="20"/>
                  <w:szCs w:val="20"/>
                </w:rPr>
                <w:t>.peterson@metc.state.mn.us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75971746"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234-7795</w:t>
            </w:r>
          </w:p>
        </w:tc>
      </w:tr>
      <w:tr w:rsidR="0019202F" w:rsidRPr="002E2608" w14:paraId="62F07563"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77113998" w14:textId="77777777" w:rsidR="002E2608" w:rsidRPr="002E2608" w:rsidRDefault="002E2608" w:rsidP="00894982">
            <w:pPr>
              <w:suppressAutoHyphens/>
              <w:spacing w:beforeLines="30" w:before="72" w:afterLines="30" w:after="72"/>
              <w:rPr>
                <w:sz w:val="20"/>
                <w:szCs w:val="20"/>
              </w:rPr>
            </w:pPr>
            <w:r w:rsidRPr="002E2608">
              <w:rPr>
                <w:sz w:val="20"/>
                <w:szCs w:val="20"/>
              </w:rPr>
              <w:t>Safe Routes to School</w:t>
            </w:r>
          </w:p>
        </w:tc>
        <w:tc>
          <w:tcPr>
            <w:tcW w:w="812" w:type="pct"/>
            <w:vAlign w:val="center"/>
          </w:tcPr>
          <w:p w14:paraId="6ADB735A"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Dave Cowan</w:t>
            </w:r>
          </w:p>
        </w:tc>
        <w:tc>
          <w:tcPr>
            <w:tcW w:w="598" w:type="pct"/>
            <w:vAlign w:val="center"/>
          </w:tcPr>
          <w:p w14:paraId="7FE53CB3"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MnDOT</w:t>
            </w:r>
          </w:p>
        </w:tc>
        <w:tc>
          <w:tcPr>
            <w:tcW w:w="1674" w:type="pct"/>
            <w:vAlign w:val="center"/>
          </w:tcPr>
          <w:p w14:paraId="1856ACB8"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48" w:history="1">
              <w:r w:rsidRPr="002E2608">
                <w:rPr>
                  <w:sz w:val="20"/>
                  <w:szCs w:val="20"/>
                  <w:u w:val="single"/>
                </w:rPr>
                <w:t>Dave.cowan@state.mn.us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502CD4E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366-4180</w:t>
            </w:r>
          </w:p>
        </w:tc>
      </w:tr>
      <w:tr w:rsidR="0019202F" w:rsidRPr="002E2608" w14:paraId="3FC2F123"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3DD43E24" w14:textId="77777777" w:rsidR="002E2608" w:rsidRPr="002E2608" w:rsidRDefault="002E2608" w:rsidP="00894982">
            <w:pPr>
              <w:suppressAutoHyphens/>
              <w:spacing w:beforeLines="30" w:before="72" w:afterLines="30" w:after="72"/>
              <w:rPr>
                <w:sz w:val="20"/>
                <w:szCs w:val="20"/>
              </w:rPr>
            </w:pPr>
            <w:r w:rsidRPr="002E2608">
              <w:rPr>
                <w:sz w:val="20"/>
                <w:szCs w:val="20"/>
              </w:rPr>
              <w:t>Regional Bicycle Transportation Network and Bicycle Barriers</w:t>
            </w:r>
          </w:p>
        </w:tc>
        <w:tc>
          <w:tcPr>
            <w:tcW w:w="812" w:type="pct"/>
            <w:vAlign w:val="center"/>
          </w:tcPr>
          <w:p w14:paraId="1260C97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Jed Hanson</w:t>
            </w:r>
          </w:p>
        </w:tc>
        <w:tc>
          <w:tcPr>
            <w:tcW w:w="598" w:type="pct"/>
            <w:vAlign w:val="center"/>
          </w:tcPr>
          <w:p w14:paraId="261E9528"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7E4CE3B6"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49" w:history="1">
              <w:r w:rsidRPr="002E2608">
                <w:rPr>
                  <w:sz w:val="20"/>
                  <w:szCs w:val="20"/>
                  <w:u w:val="single"/>
                </w:rPr>
                <w:t>Jed.hanson@metc.state.mn.us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66C8C88F"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602-1748</w:t>
            </w:r>
          </w:p>
        </w:tc>
      </w:tr>
      <w:tr w:rsidR="0019202F" w:rsidRPr="002E2608" w14:paraId="58A4E988"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34A9A7BA" w14:textId="77777777" w:rsidR="002E2608" w:rsidRPr="002E2608" w:rsidRDefault="002E2608" w:rsidP="00894982">
            <w:pPr>
              <w:suppressAutoHyphens/>
              <w:spacing w:beforeLines="30" w:before="72" w:afterLines="30" w:after="72"/>
              <w:rPr>
                <w:sz w:val="20"/>
                <w:szCs w:val="20"/>
              </w:rPr>
            </w:pPr>
            <w:r w:rsidRPr="002E2608">
              <w:rPr>
                <w:sz w:val="20"/>
                <w:szCs w:val="20"/>
              </w:rPr>
              <w:t>Community Considerations</w:t>
            </w:r>
          </w:p>
        </w:tc>
        <w:tc>
          <w:tcPr>
            <w:tcW w:w="812" w:type="pct"/>
            <w:vAlign w:val="center"/>
          </w:tcPr>
          <w:p w14:paraId="6B946681"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Amy Vennewitz</w:t>
            </w:r>
          </w:p>
        </w:tc>
        <w:tc>
          <w:tcPr>
            <w:tcW w:w="598" w:type="pct"/>
            <w:vAlign w:val="center"/>
          </w:tcPr>
          <w:p w14:paraId="372D5E32"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62837D67"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50" w:history="1">
              <w:r w:rsidRPr="002E2608">
                <w:rPr>
                  <w:sz w:val="20"/>
                  <w:szCs w:val="20"/>
                  <w:u w:val="single"/>
                </w:rPr>
                <w:t>Amy.vennewitz@metc.state.mn.us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696EBF11"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602-1058</w:t>
            </w:r>
          </w:p>
        </w:tc>
      </w:tr>
      <w:tr w:rsidR="0019202F" w:rsidRPr="002E2608" w14:paraId="7F7FACAB"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499FF7FF" w14:textId="77777777" w:rsidR="002E2608" w:rsidRPr="002E2608" w:rsidRDefault="002E2608" w:rsidP="00894982">
            <w:pPr>
              <w:suppressAutoHyphens/>
              <w:spacing w:beforeLines="30" w:before="72" w:afterLines="30" w:after="72"/>
              <w:rPr>
                <w:sz w:val="20"/>
                <w:szCs w:val="20"/>
              </w:rPr>
            </w:pPr>
            <w:r w:rsidRPr="002E2608">
              <w:rPr>
                <w:sz w:val="20"/>
                <w:szCs w:val="20"/>
              </w:rPr>
              <w:t>Demographics by TAZ</w:t>
            </w:r>
          </w:p>
        </w:tc>
        <w:tc>
          <w:tcPr>
            <w:tcW w:w="812" w:type="pct"/>
            <w:vAlign w:val="center"/>
          </w:tcPr>
          <w:p w14:paraId="18F9D991"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Dennis Farmer</w:t>
            </w:r>
          </w:p>
        </w:tc>
        <w:tc>
          <w:tcPr>
            <w:tcW w:w="598" w:type="pct"/>
            <w:vAlign w:val="center"/>
          </w:tcPr>
          <w:p w14:paraId="441C40A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0AEA251C"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51" w:history="1">
              <w:r w:rsidRPr="002E2608">
                <w:rPr>
                  <w:sz w:val="20"/>
                  <w:szCs w:val="20"/>
                  <w:u w:val="single"/>
                </w:rPr>
                <w:t>Dennis.farmer@metc.state.mn.us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539E6B1A"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602-1552</w:t>
            </w:r>
          </w:p>
        </w:tc>
      </w:tr>
      <w:tr w:rsidR="0019202F" w:rsidRPr="002E2608" w14:paraId="14A399C5"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60100F5C" w14:textId="77777777" w:rsidR="002E2608" w:rsidRPr="002E2608" w:rsidRDefault="002E2608" w:rsidP="00894982">
            <w:pPr>
              <w:suppressAutoHyphens/>
              <w:spacing w:beforeLines="30" w:before="72" w:afterLines="30" w:after="72"/>
              <w:rPr>
                <w:sz w:val="20"/>
                <w:szCs w:val="20"/>
              </w:rPr>
            </w:pPr>
            <w:r w:rsidRPr="002E2608">
              <w:rPr>
                <w:sz w:val="20"/>
                <w:szCs w:val="20"/>
              </w:rPr>
              <w:t>Transit Ridership</w:t>
            </w:r>
          </w:p>
        </w:tc>
        <w:tc>
          <w:tcPr>
            <w:tcW w:w="812" w:type="pct"/>
            <w:vAlign w:val="center"/>
          </w:tcPr>
          <w:p w14:paraId="632A2458"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Bradley Bobbitt</w:t>
            </w:r>
          </w:p>
        </w:tc>
        <w:tc>
          <w:tcPr>
            <w:tcW w:w="598" w:type="pct"/>
            <w:vAlign w:val="center"/>
          </w:tcPr>
          <w:p w14:paraId="62C141B2"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2B0241ED"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52" w:history="1">
              <w:r w:rsidRPr="002E2608">
                <w:rPr>
                  <w:sz w:val="20"/>
                  <w:szCs w:val="20"/>
                  <w:u w:val="single"/>
                </w:rPr>
                <w:t>Bradley.bobbitt@metc.state.mn.us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10A7E908"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602-1724</w:t>
            </w:r>
          </w:p>
        </w:tc>
      </w:tr>
      <w:tr w:rsidR="0019202F" w:rsidRPr="002E2608" w14:paraId="62884257"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634EE771" w14:textId="77777777" w:rsidR="002E2608" w:rsidRPr="002E2608" w:rsidRDefault="002E2608" w:rsidP="00894982">
            <w:pPr>
              <w:suppressAutoHyphens/>
              <w:spacing w:beforeLines="30" w:before="72" w:afterLines="30" w:after="72"/>
              <w:rPr>
                <w:sz w:val="20"/>
                <w:szCs w:val="20"/>
              </w:rPr>
            </w:pPr>
            <w:r w:rsidRPr="002E2608">
              <w:rPr>
                <w:sz w:val="20"/>
                <w:szCs w:val="20"/>
              </w:rPr>
              <w:t>Transit Funding Timeline</w:t>
            </w:r>
          </w:p>
        </w:tc>
        <w:tc>
          <w:tcPr>
            <w:tcW w:w="812" w:type="pct"/>
            <w:vAlign w:val="center"/>
          </w:tcPr>
          <w:p w14:paraId="6511C1D3"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Heather Giesel</w:t>
            </w:r>
          </w:p>
        </w:tc>
        <w:tc>
          <w:tcPr>
            <w:tcW w:w="598" w:type="pct"/>
            <w:vAlign w:val="center"/>
          </w:tcPr>
          <w:p w14:paraId="7545AB71"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0CCF0E8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53" w:history="1">
              <w:r w:rsidRPr="002E2608">
                <w:rPr>
                  <w:sz w:val="20"/>
                  <w:szCs w:val="20"/>
                  <w:u w:val="single"/>
                </w:rPr>
                <w:t>Heather.giesel@metc.state.mn.us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7E6E24D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602-1715</w:t>
            </w:r>
          </w:p>
        </w:tc>
      </w:tr>
      <w:tr w:rsidR="0019202F" w:rsidRPr="002E2608" w14:paraId="44A7B566"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2065F5B9" w14:textId="77777777" w:rsidR="002E2608" w:rsidRPr="002E2608" w:rsidRDefault="002E2608" w:rsidP="00894982">
            <w:pPr>
              <w:suppressAutoHyphens/>
              <w:spacing w:beforeLines="30" w:before="72" w:afterLines="30" w:after="72"/>
              <w:rPr>
                <w:sz w:val="20"/>
                <w:szCs w:val="20"/>
              </w:rPr>
            </w:pPr>
            <w:r w:rsidRPr="002E2608">
              <w:rPr>
                <w:sz w:val="20"/>
                <w:szCs w:val="20"/>
              </w:rPr>
              <w:t>Emissions Data, including GHG/VMT</w:t>
            </w:r>
          </w:p>
        </w:tc>
        <w:tc>
          <w:tcPr>
            <w:tcW w:w="812" w:type="pct"/>
            <w:vAlign w:val="center"/>
          </w:tcPr>
          <w:p w14:paraId="02908630"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Tony Fischer</w:t>
            </w:r>
          </w:p>
        </w:tc>
        <w:tc>
          <w:tcPr>
            <w:tcW w:w="598" w:type="pct"/>
            <w:vAlign w:val="center"/>
          </w:tcPr>
          <w:p w14:paraId="7D7899F4"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16B72087"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54" w:history="1">
              <w:r w:rsidRPr="002E2608">
                <w:rPr>
                  <w:sz w:val="20"/>
                  <w:szCs w:val="20"/>
                  <w:u w:val="single"/>
                </w:rPr>
                <w:t>Tony.fischer@metc.state.mn.us</w:t>
              </w:r>
            </w:hyperlink>
            <w:r w:rsidRPr="002E2608">
              <w:rPr>
                <w:sz w:val="20"/>
                <w:szCs w:val="20"/>
                <w:u w:val="single"/>
              </w:rPr>
              <w:t xml:space="preserve"> </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A67A16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602-1703</w:t>
            </w:r>
          </w:p>
        </w:tc>
      </w:tr>
      <w:tr w:rsidR="00EA5058" w:rsidRPr="002E2608" w14:paraId="1C582204"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70E6E0BE" w14:textId="77777777" w:rsidR="002E2608" w:rsidRPr="002E2608" w:rsidRDefault="002E2608" w:rsidP="00894982">
            <w:pPr>
              <w:suppressAutoHyphens/>
              <w:spacing w:beforeLines="30" w:before="72" w:afterLines="30" w:after="72"/>
              <w:rPr>
                <w:sz w:val="20"/>
                <w:szCs w:val="20"/>
              </w:rPr>
            </w:pPr>
            <w:r w:rsidRPr="002E2608">
              <w:rPr>
                <w:sz w:val="20"/>
                <w:szCs w:val="20"/>
              </w:rPr>
              <w:t>MnDOT Greenhouse Gas Technical Committee</w:t>
            </w:r>
          </w:p>
        </w:tc>
        <w:tc>
          <w:tcPr>
            <w:tcW w:w="812" w:type="pct"/>
            <w:vAlign w:val="center"/>
          </w:tcPr>
          <w:p w14:paraId="6448DF4B"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Maurice Roers</w:t>
            </w:r>
          </w:p>
        </w:tc>
        <w:tc>
          <w:tcPr>
            <w:tcW w:w="598" w:type="pct"/>
            <w:vAlign w:val="center"/>
          </w:tcPr>
          <w:p w14:paraId="5AAB2D44"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MnDOT</w:t>
            </w:r>
          </w:p>
        </w:tc>
        <w:tc>
          <w:tcPr>
            <w:tcW w:w="1674" w:type="pct"/>
            <w:vAlign w:val="center"/>
          </w:tcPr>
          <w:p w14:paraId="73F46E8E"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u w:val="single"/>
              </w:rPr>
              <w:t>Maurice.Roers@state.mn.us</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3422A29"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651-366-5005</w:t>
            </w:r>
          </w:p>
        </w:tc>
      </w:tr>
      <w:tr w:rsidR="0019202F" w:rsidRPr="002E2608" w14:paraId="70F54209"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7C1DB2FE" w14:textId="77777777" w:rsidR="002E2608" w:rsidRPr="002E2608" w:rsidRDefault="002E2608" w:rsidP="00894982">
            <w:pPr>
              <w:suppressAutoHyphens/>
              <w:spacing w:beforeLines="30" w:before="72" w:afterLines="30" w:after="72"/>
              <w:rPr>
                <w:sz w:val="20"/>
                <w:szCs w:val="20"/>
              </w:rPr>
            </w:pPr>
            <w:r w:rsidRPr="002E2608">
              <w:rPr>
                <w:sz w:val="20"/>
                <w:szCs w:val="20"/>
              </w:rPr>
              <w:t>Intersection Mobility and Safety Study</w:t>
            </w:r>
          </w:p>
        </w:tc>
        <w:tc>
          <w:tcPr>
            <w:tcW w:w="812" w:type="pct"/>
            <w:vAlign w:val="center"/>
          </w:tcPr>
          <w:p w14:paraId="1A68AC51"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Steve Peterson</w:t>
            </w:r>
          </w:p>
        </w:tc>
        <w:tc>
          <w:tcPr>
            <w:tcW w:w="598" w:type="pct"/>
            <w:vAlign w:val="center"/>
          </w:tcPr>
          <w:p w14:paraId="3CA76496"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7CCA9B11"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55" w:history="1">
              <w:r w:rsidRPr="002E2608">
                <w:rPr>
                  <w:sz w:val="20"/>
                  <w:szCs w:val="20"/>
                  <w:u w:val="single"/>
                </w:rPr>
                <w:t>Steven.peterson@metc.state.mn.us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03ABCD72"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602-1819</w:t>
            </w:r>
          </w:p>
        </w:tc>
      </w:tr>
      <w:tr w:rsidR="0019202F" w:rsidRPr="002E2608" w14:paraId="5AED37D2"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0BF3593F" w14:textId="77777777" w:rsidR="002E2608" w:rsidRPr="002E2608" w:rsidRDefault="002E2608" w:rsidP="00894982">
            <w:pPr>
              <w:suppressAutoHyphens/>
              <w:spacing w:beforeLines="30" w:before="72" w:afterLines="30" w:after="72"/>
              <w:rPr>
                <w:sz w:val="20"/>
                <w:szCs w:val="20"/>
              </w:rPr>
            </w:pPr>
            <w:r w:rsidRPr="002E2608">
              <w:rPr>
                <w:sz w:val="20"/>
                <w:szCs w:val="20"/>
              </w:rPr>
              <w:t>Regional Truck Highway Corridor Study</w:t>
            </w:r>
          </w:p>
        </w:tc>
        <w:tc>
          <w:tcPr>
            <w:tcW w:w="812" w:type="pct"/>
            <w:vAlign w:val="center"/>
          </w:tcPr>
          <w:p w14:paraId="11B370AD"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Steve Peterson</w:t>
            </w:r>
          </w:p>
        </w:tc>
        <w:tc>
          <w:tcPr>
            <w:tcW w:w="598" w:type="pct"/>
            <w:vAlign w:val="center"/>
          </w:tcPr>
          <w:p w14:paraId="2BF64576"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21D38494"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hyperlink r:id="rId56" w:history="1">
              <w:r w:rsidRPr="002E2608">
                <w:rPr>
                  <w:sz w:val="20"/>
                  <w:szCs w:val="20"/>
                  <w:u w:val="single"/>
                </w:rPr>
                <w:t>Steven.peterson@metc.state.mn.us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4A91EAE5"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602-1887</w:t>
            </w:r>
          </w:p>
        </w:tc>
      </w:tr>
      <w:tr w:rsidR="0019202F" w:rsidRPr="002E2608" w14:paraId="42670445"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59834AF4" w14:textId="77777777" w:rsidR="002E2608" w:rsidRPr="002E2608" w:rsidRDefault="002E2608" w:rsidP="00894982">
            <w:pPr>
              <w:suppressAutoHyphens/>
              <w:spacing w:beforeLines="30" w:before="72" w:afterLines="30" w:after="72"/>
              <w:rPr>
                <w:sz w:val="20"/>
                <w:szCs w:val="20"/>
              </w:rPr>
            </w:pPr>
            <w:r w:rsidRPr="002E2608">
              <w:rPr>
                <w:sz w:val="20"/>
                <w:szCs w:val="20"/>
              </w:rPr>
              <w:t>Congestion Management Process</w:t>
            </w:r>
          </w:p>
        </w:tc>
        <w:tc>
          <w:tcPr>
            <w:tcW w:w="812" w:type="pct"/>
            <w:vAlign w:val="center"/>
          </w:tcPr>
          <w:p w14:paraId="1CDF606A"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Steve Peterson</w:t>
            </w:r>
          </w:p>
        </w:tc>
        <w:tc>
          <w:tcPr>
            <w:tcW w:w="598" w:type="pct"/>
            <w:vAlign w:val="center"/>
          </w:tcPr>
          <w:p w14:paraId="408279F4"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688D6F5D"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hyperlink r:id="rId57" w:history="1">
              <w:r w:rsidRPr="002E2608">
                <w:rPr>
                  <w:sz w:val="20"/>
                  <w:szCs w:val="20"/>
                  <w:u w:val="single"/>
                </w:rPr>
                <w:t>Steven.peterson@metc.state.mn.us</w:t>
              </w:r>
            </w:hyperlink>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14F627F1"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602-1887</w:t>
            </w:r>
          </w:p>
        </w:tc>
      </w:tr>
      <w:tr w:rsidR="0019202F" w:rsidRPr="002E2608" w14:paraId="3B34E5EC" w14:textId="77777777" w:rsidTr="00EA50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051B9BFE" w14:textId="77777777" w:rsidR="002E2608" w:rsidRPr="002E2608" w:rsidRDefault="002E2608" w:rsidP="00894982">
            <w:pPr>
              <w:suppressAutoHyphens/>
              <w:spacing w:beforeLines="30" w:before="72" w:afterLines="30" w:after="72"/>
              <w:rPr>
                <w:sz w:val="20"/>
                <w:szCs w:val="20"/>
              </w:rPr>
            </w:pPr>
            <w:r w:rsidRPr="002E2608">
              <w:rPr>
                <w:sz w:val="20"/>
                <w:szCs w:val="20"/>
              </w:rPr>
              <w:t>Travel Demand Management</w:t>
            </w:r>
          </w:p>
        </w:tc>
        <w:tc>
          <w:tcPr>
            <w:tcW w:w="812" w:type="pct"/>
            <w:vAlign w:val="center"/>
          </w:tcPr>
          <w:p w14:paraId="0F3C1959"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Wendy Duren</w:t>
            </w:r>
          </w:p>
        </w:tc>
        <w:tc>
          <w:tcPr>
            <w:tcW w:w="598" w:type="pct"/>
            <w:vAlign w:val="center"/>
          </w:tcPr>
          <w:p w14:paraId="0FA5160B"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rPr>
            </w:pPr>
            <w:r w:rsidRPr="002E2608">
              <w:rPr>
                <w:sz w:val="20"/>
                <w:szCs w:val="20"/>
              </w:rPr>
              <w:t>Met Council</w:t>
            </w:r>
          </w:p>
        </w:tc>
        <w:tc>
          <w:tcPr>
            <w:tcW w:w="1674" w:type="pct"/>
            <w:vAlign w:val="center"/>
          </w:tcPr>
          <w:p w14:paraId="4B4B6C00" w14:textId="77777777" w:rsidR="002E2608" w:rsidRPr="002E2608" w:rsidRDefault="002E2608" w:rsidP="00894982">
            <w:pPr>
              <w:suppressAutoHyphens/>
              <w:spacing w:beforeLines="30" w:before="72" w:afterLines="30" w:after="72"/>
              <w:cnfStyle w:val="000000100000" w:firstRow="0" w:lastRow="0" w:firstColumn="0" w:lastColumn="0" w:oddVBand="0" w:evenVBand="0" w:oddHBand="1" w:evenHBand="0" w:firstRowFirstColumn="0" w:firstRowLastColumn="0" w:lastRowFirstColumn="0" w:lastRowLastColumn="0"/>
              <w:rPr>
                <w:sz w:val="20"/>
                <w:szCs w:val="20"/>
                <w:u w:val="single"/>
              </w:rPr>
            </w:pPr>
            <w:r w:rsidRPr="002E2608">
              <w:rPr>
                <w:sz w:val="20"/>
                <w:szCs w:val="20"/>
                <w:u w:val="single"/>
              </w:rPr>
              <w:t>Wendy.duren@metc.state.mn.us</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277B2B32"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602-1701</w:t>
            </w:r>
          </w:p>
        </w:tc>
      </w:tr>
      <w:tr w:rsidR="0019202F" w:rsidRPr="002E2608" w14:paraId="01062455" w14:textId="77777777" w:rsidTr="00EA5058">
        <w:trPr>
          <w:trHeight w:val="432"/>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77655085" w14:textId="77777777" w:rsidR="002E2608" w:rsidRPr="002E2608" w:rsidRDefault="002E2608" w:rsidP="00894982">
            <w:pPr>
              <w:suppressAutoHyphens/>
              <w:spacing w:beforeLines="30" w:before="72" w:afterLines="30" w:after="72"/>
              <w:rPr>
                <w:sz w:val="20"/>
                <w:szCs w:val="20"/>
              </w:rPr>
            </w:pPr>
            <w:r w:rsidRPr="002E2608">
              <w:rPr>
                <w:sz w:val="20"/>
                <w:szCs w:val="20"/>
              </w:rPr>
              <w:t>MnDOT Support Letter</w:t>
            </w:r>
          </w:p>
        </w:tc>
        <w:tc>
          <w:tcPr>
            <w:tcW w:w="812" w:type="pct"/>
            <w:vAlign w:val="center"/>
          </w:tcPr>
          <w:p w14:paraId="04CEEA97"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Jennifer Wiltgen</w:t>
            </w:r>
          </w:p>
        </w:tc>
        <w:tc>
          <w:tcPr>
            <w:tcW w:w="598" w:type="pct"/>
            <w:vAlign w:val="center"/>
          </w:tcPr>
          <w:p w14:paraId="110A6878"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rPr>
            </w:pPr>
            <w:r w:rsidRPr="002E2608">
              <w:rPr>
                <w:sz w:val="20"/>
                <w:szCs w:val="20"/>
              </w:rPr>
              <w:t>MnDOT</w:t>
            </w:r>
          </w:p>
        </w:tc>
        <w:tc>
          <w:tcPr>
            <w:tcW w:w="1674" w:type="pct"/>
            <w:vAlign w:val="center"/>
          </w:tcPr>
          <w:p w14:paraId="57566D41" w14:textId="77777777" w:rsidR="002E2608" w:rsidRPr="002E2608" w:rsidRDefault="002E2608" w:rsidP="00894982">
            <w:pPr>
              <w:suppressAutoHyphens/>
              <w:spacing w:beforeLines="30" w:before="72" w:afterLines="30" w:after="72"/>
              <w:cnfStyle w:val="000000000000" w:firstRow="0" w:lastRow="0" w:firstColumn="0" w:lastColumn="0" w:oddVBand="0" w:evenVBand="0" w:oddHBand="0" w:evenHBand="0" w:firstRowFirstColumn="0" w:firstRowLastColumn="0" w:lastRowFirstColumn="0" w:lastRowLastColumn="0"/>
              <w:rPr>
                <w:sz w:val="20"/>
                <w:szCs w:val="20"/>
                <w:u w:val="single"/>
              </w:rPr>
            </w:pPr>
            <w:r w:rsidRPr="002E2608">
              <w:rPr>
                <w:sz w:val="20"/>
                <w:szCs w:val="20"/>
                <w:u w:val="single"/>
              </w:rPr>
              <w:t>Jennifer.wiltgen@state.mn.us</w:t>
            </w:r>
          </w:p>
        </w:tc>
        <w:tc>
          <w:tcPr>
            <w:cnfStyle w:val="000100000000" w:firstRow="0" w:lastRow="0" w:firstColumn="0" w:lastColumn="1" w:oddVBand="0" w:evenVBand="0" w:oddHBand="0" w:evenHBand="0" w:firstRowFirstColumn="0" w:firstRowLastColumn="0" w:lastRowFirstColumn="0" w:lastRowLastColumn="0"/>
            <w:tcW w:w="739" w:type="pct"/>
            <w:vAlign w:val="center"/>
          </w:tcPr>
          <w:p w14:paraId="29AA3027" w14:textId="77777777" w:rsidR="002E2608" w:rsidRPr="002E2608" w:rsidRDefault="002E2608" w:rsidP="00894982">
            <w:pPr>
              <w:suppressAutoHyphens/>
              <w:spacing w:beforeLines="30" w:before="72" w:afterLines="30" w:after="72"/>
              <w:rPr>
                <w:b w:val="0"/>
                <w:bCs w:val="0"/>
                <w:sz w:val="20"/>
                <w:szCs w:val="20"/>
              </w:rPr>
            </w:pPr>
            <w:r w:rsidRPr="002E2608">
              <w:rPr>
                <w:b w:val="0"/>
                <w:bCs w:val="0"/>
                <w:sz w:val="20"/>
                <w:szCs w:val="20"/>
              </w:rPr>
              <w:t>(651) 234-7789</w:t>
            </w:r>
          </w:p>
        </w:tc>
      </w:tr>
    </w:tbl>
    <w:p w14:paraId="74596BFF" w14:textId="77777777" w:rsidR="005D16E3" w:rsidRDefault="005D16E3">
      <w:pPr>
        <w:spacing w:after="0"/>
      </w:pPr>
      <w:r>
        <w:br w:type="page"/>
      </w:r>
    </w:p>
    <w:p w14:paraId="315E23F5" w14:textId="77777777" w:rsidR="005D16E3" w:rsidRDefault="005D16E3" w:rsidP="005D16E3">
      <w:pPr>
        <w:pStyle w:val="ReportTitle"/>
      </w:pPr>
      <w:r>
        <w:lastRenderedPageBreak/>
        <w:t>Proactive Safety</w:t>
      </w:r>
    </w:p>
    <w:p w14:paraId="03963A36" w14:textId="77777777" w:rsidR="005D16E3" w:rsidRPr="00DA288C" w:rsidRDefault="005D16E3" w:rsidP="005D16E3">
      <w:pPr>
        <w:pStyle w:val="Heading1"/>
      </w:pPr>
      <w:r>
        <w:t>Prioritizing Criteria and Measures</w:t>
      </w:r>
    </w:p>
    <w:p w14:paraId="3543D2AE" w14:textId="579D20DF" w:rsidR="005D16E3" w:rsidRPr="00973337" w:rsidRDefault="005D16E3" w:rsidP="005D16E3">
      <w:r w:rsidRPr="00973337">
        <w:rPr>
          <w:b/>
          <w:bCs/>
        </w:rPr>
        <w:t>2050 TPP Goal:</w:t>
      </w:r>
      <w:r w:rsidRPr="00973337">
        <w:t xml:space="preserve"> Our communities are healthy and safe</w:t>
      </w:r>
    </w:p>
    <w:p w14:paraId="05F6255F" w14:textId="77777777" w:rsidR="005D16E3" w:rsidRPr="00973337" w:rsidRDefault="005D16E3" w:rsidP="005D16E3">
      <w:pPr>
        <w:spacing w:after="0"/>
        <w:rPr>
          <w:b/>
          <w:bCs/>
        </w:rPr>
      </w:pPr>
      <w:r w:rsidRPr="00973337">
        <w:rPr>
          <w:b/>
          <w:bCs/>
        </w:rPr>
        <w:t>2050 TPP Objectives or Policies:</w:t>
      </w:r>
    </w:p>
    <w:p w14:paraId="4F045DEA" w14:textId="77777777" w:rsidR="005D16E3" w:rsidRPr="00973337" w:rsidRDefault="005D16E3" w:rsidP="005D16E3">
      <w:pPr>
        <w:pStyle w:val="ListBullet"/>
        <w:tabs>
          <w:tab w:val="clear" w:pos="540"/>
        </w:tabs>
        <w:spacing w:after="240"/>
        <w:contextualSpacing/>
      </w:pPr>
      <w:r w:rsidRPr="00973337">
        <w:t xml:space="preserve">Work to eliminate fatalities and serious injuries from traffic crashes and incidents on the transportation system by 2050 using the </w:t>
      </w:r>
      <w:hyperlink r:id="rId58" w:history="1">
        <w:r w:rsidRPr="00973337">
          <w:rPr>
            <w:rStyle w:val="Hyperlink"/>
            <w:color w:val="505150"/>
          </w:rPr>
          <w:t>Safe System Approach</w:t>
        </w:r>
      </w:hyperlink>
      <w:r w:rsidRPr="00973337">
        <w:t>.</w:t>
      </w:r>
    </w:p>
    <w:p w14:paraId="7593C0E2" w14:textId="77777777" w:rsidR="005D16E3" w:rsidRPr="00973337" w:rsidRDefault="005D16E3" w:rsidP="005D16E3">
      <w:pPr>
        <w:pStyle w:val="ListBullet"/>
        <w:tabs>
          <w:tab w:val="clear" w:pos="540"/>
        </w:tabs>
        <w:spacing w:after="240"/>
        <w:contextualSpacing/>
      </w:pPr>
      <w:r w:rsidRPr="00973337">
        <w:t>Emphasize and prioritize the safety of people outside of vehicles in the transportation right-of-way.</w:t>
      </w:r>
    </w:p>
    <w:p w14:paraId="405B8700" w14:textId="77777777" w:rsidR="005D16E3" w:rsidRPr="00973337" w:rsidRDefault="005D16E3" w:rsidP="005D16E3">
      <w:r w:rsidRPr="00973337">
        <w:rPr>
          <w:b/>
          <w:bCs/>
        </w:rPr>
        <w:t>Category Definition:</w:t>
      </w:r>
      <w:r w:rsidRPr="00973337">
        <w:t xml:space="preserve"> The Proactive Safety application category seeks to fund projects that reduce fatalities and serious injuries, as well as increase safety and comfort of people outside of vehicles by focusing on locations with a high severe crash risk that may not have a documented severe crash history.</w:t>
      </w:r>
    </w:p>
    <w:p w14:paraId="1256F03B" w14:textId="77777777" w:rsidR="005D16E3" w:rsidRPr="001007C5" w:rsidRDefault="005D16E3" w:rsidP="005D16E3">
      <w:pPr>
        <w:pStyle w:val="Heading1"/>
      </w:pPr>
      <w:r w:rsidRPr="001007C5">
        <w:t>Scoring</w:t>
      </w:r>
    </w:p>
    <w:tbl>
      <w:tblPr>
        <w:tblStyle w:val="ListTable3-Accent1"/>
        <w:tblW w:w="5000" w:type="pct"/>
        <w:tblLook w:val="04A0" w:firstRow="1" w:lastRow="0" w:firstColumn="1" w:lastColumn="0" w:noHBand="0" w:noVBand="1"/>
      </w:tblPr>
      <w:tblGrid>
        <w:gridCol w:w="8862"/>
        <w:gridCol w:w="1208"/>
      </w:tblGrid>
      <w:tr w:rsidR="005D16E3" w:rsidRPr="00D068AB" w14:paraId="2D378350" w14:textId="77777777" w:rsidTr="005D16E3">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Pr>
          <w:p w14:paraId="2C4ACA1F" w14:textId="77777777" w:rsidR="005D16E3" w:rsidRPr="00F40B4A" w:rsidRDefault="005D16E3" w:rsidP="000651D8">
            <w:pPr>
              <w:pStyle w:val="TableHeader"/>
              <w:spacing w:before="120" w:after="0"/>
              <w:rPr>
                <w:rFonts w:ascii="Arial" w:hAnsi="Arial"/>
                <w:b/>
                <w:bCs/>
                <w:color w:val="FFFFFF" w:themeColor="background1"/>
                <w:szCs w:val="22"/>
              </w:rPr>
            </w:pPr>
            <w:r w:rsidRPr="00F40B4A">
              <w:rPr>
                <w:rFonts w:ascii="Arial" w:hAnsi="Arial"/>
                <w:b/>
                <w:bCs/>
                <w:color w:val="FFFFFF" w:themeColor="background1"/>
                <w:szCs w:val="22"/>
              </w:rPr>
              <w:t>Criteria and Measures</w:t>
            </w:r>
          </w:p>
        </w:tc>
        <w:tc>
          <w:tcPr>
            <w:tcW w:w="1080" w:type="dxa"/>
            <w:vAlign w:val="center"/>
          </w:tcPr>
          <w:p w14:paraId="3B2C4A9F" w14:textId="77777777" w:rsidR="005D16E3" w:rsidRPr="00F40B4A" w:rsidRDefault="005D16E3"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ascii="Arial" w:hAnsi="Arial"/>
                <w:b/>
                <w:bCs/>
                <w:color w:val="FFFFFF" w:themeColor="background1"/>
                <w:szCs w:val="22"/>
              </w:rPr>
            </w:pPr>
            <w:r w:rsidRPr="00F40B4A">
              <w:rPr>
                <w:rFonts w:ascii="Arial" w:hAnsi="Arial"/>
                <w:b/>
                <w:bCs/>
                <w:color w:val="FFFFFF" w:themeColor="background1"/>
                <w:szCs w:val="22"/>
              </w:rPr>
              <w:t>%</w:t>
            </w:r>
          </w:p>
        </w:tc>
      </w:tr>
      <w:tr w:rsidR="005D16E3" w:rsidRPr="00D068AB" w14:paraId="56AD88E8"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bottom w:val="nil"/>
            </w:tcBorders>
            <w:vAlign w:val="center"/>
          </w:tcPr>
          <w:p w14:paraId="45B56DD4" w14:textId="77777777" w:rsidR="005D16E3" w:rsidRPr="00973337" w:rsidRDefault="005D16E3" w:rsidP="005D16E3">
            <w:pPr>
              <w:pStyle w:val="ListParagraph"/>
              <w:numPr>
                <w:ilvl w:val="0"/>
                <w:numId w:val="18"/>
              </w:numPr>
              <w:spacing w:after="0"/>
              <w:ind w:left="720"/>
            </w:pPr>
            <w:r w:rsidRPr="00973337">
              <w:t>Connection to Existing Safety Planning Efforts</w:t>
            </w:r>
          </w:p>
        </w:tc>
        <w:tc>
          <w:tcPr>
            <w:tcW w:w="1080" w:type="dxa"/>
            <w:tcBorders>
              <w:bottom w:val="nil"/>
            </w:tcBorders>
            <w:vAlign w:val="center"/>
          </w:tcPr>
          <w:p w14:paraId="177DF85B"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30</w:t>
            </w:r>
          </w:p>
        </w:tc>
      </w:tr>
      <w:tr w:rsidR="005D16E3" w:rsidRPr="00D068AB" w14:paraId="362CCD6F"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5A6A21EB" w14:textId="77777777" w:rsidR="005D16E3" w:rsidRPr="00973337" w:rsidRDefault="005D16E3" w:rsidP="000651D8">
            <w:pPr>
              <w:pStyle w:val="ListParagraph"/>
              <w:spacing w:after="0"/>
              <w:rPr>
                <w:b w:val="0"/>
                <w:bCs w:val="0"/>
              </w:rPr>
            </w:pPr>
            <w:r w:rsidRPr="00973337">
              <w:rPr>
                <w:b w:val="0"/>
                <w:bCs w:val="0"/>
              </w:rPr>
              <w:t>Measure A – Connection to existing safety planning efforts</w:t>
            </w:r>
          </w:p>
        </w:tc>
        <w:tc>
          <w:tcPr>
            <w:tcW w:w="1080" w:type="dxa"/>
            <w:tcBorders>
              <w:top w:val="nil"/>
              <w:bottom w:val="single" w:sz="18" w:space="0" w:color="4F81BD" w:themeColor="accent1"/>
            </w:tcBorders>
            <w:vAlign w:val="center"/>
          </w:tcPr>
          <w:p w14:paraId="15C4B3A7"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30</w:t>
            </w:r>
          </w:p>
        </w:tc>
      </w:tr>
      <w:tr w:rsidR="005D16E3" w:rsidRPr="00D068AB" w14:paraId="4AC0B94A"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6FD1E4E7" w14:textId="77777777" w:rsidR="005D16E3" w:rsidRPr="00973337" w:rsidRDefault="005D16E3" w:rsidP="005D16E3">
            <w:pPr>
              <w:pStyle w:val="ListParagraph"/>
              <w:numPr>
                <w:ilvl w:val="0"/>
                <w:numId w:val="18"/>
              </w:numPr>
              <w:spacing w:after="0"/>
              <w:ind w:left="720"/>
            </w:pPr>
            <w:r w:rsidRPr="00973337">
              <w:t>Expected System Risk Reduction in Fatal or Serious Injury Crashes</w:t>
            </w:r>
          </w:p>
        </w:tc>
        <w:tc>
          <w:tcPr>
            <w:tcW w:w="1080" w:type="dxa"/>
            <w:tcBorders>
              <w:top w:val="single" w:sz="18" w:space="0" w:color="4F81BD" w:themeColor="accent1"/>
              <w:bottom w:val="nil"/>
            </w:tcBorders>
            <w:vAlign w:val="center"/>
          </w:tcPr>
          <w:p w14:paraId="66544AA6"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5D16E3" w:rsidRPr="00D068AB" w14:paraId="47EDEE72"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5E9136CE" w14:textId="77777777" w:rsidR="005D16E3" w:rsidRPr="00973337" w:rsidRDefault="005D16E3" w:rsidP="000651D8">
            <w:pPr>
              <w:pStyle w:val="ListParagraph"/>
              <w:spacing w:after="0"/>
              <w:rPr>
                <w:b w:val="0"/>
                <w:bCs w:val="0"/>
              </w:rPr>
            </w:pPr>
            <w:r w:rsidRPr="00973337">
              <w:rPr>
                <w:b w:val="0"/>
                <w:bCs w:val="0"/>
              </w:rPr>
              <w:t>Measure A – Crash Modification Factor (CMF)</w:t>
            </w:r>
          </w:p>
        </w:tc>
        <w:tc>
          <w:tcPr>
            <w:tcW w:w="1080" w:type="dxa"/>
            <w:tcBorders>
              <w:top w:val="nil"/>
              <w:bottom w:val="single" w:sz="18" w:space="0" w:color="4F81BD" w:themeColor="accent1"/>
            </w:tcBorders>
            <w:vAlign w:val="center"/>
          </w:tcPr>
          <w:p w14:paraId="37620F33"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15</w:t>
            </w:r>
          </w:p>
        </w:tc>
      </w:tr>
      <w:tr w:rsidR="005D16E3" w:rsidRPr="00D068AB" w14:paraId="3DF25F0D"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0DE159DE" w14:textId="77777777" w:rsidR="005D16E3" w:rsidRPr="00973337" w:rsidRDefault="005D16E3" w:rsidP="005D16E3">
            <w:pPr>
              <w:pStyle w:val="ListParagraph"/>
              <w:numPr>
                <w:ilvl w:val="0"/>
                <w:numId w:val="18"/>
              </w:numPr>
              <w:spacing w:after="0"/>
              <w:ind w:left="720"/>
            </w:pPr>
            <w:r w:rsidRPr="00973337">
              <w:t>Fatal and Serious Injury Crash History</w:t>
            </w:r>
          </w:p>
        </w:tc>
        <w:tc>
          <w:tcPr>
            <w:tcW w:w="1080" w:type="dxa"/>
            <w:tcBorders>
              <w:top w:val="single" w:sz="18" w:space="0" w:color="4F81BD" w:themeColor="accent1"/>
              <w:bottom w:val="nil"/>
            </w:tcBorders>
            <w:vAlign w:val="center"/>
          </w:tcPr>
          <w:p w14:paraId="7A3E2A86"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5D16E3" w:rsidRPr="00D068AB" w14:paraId="03DDDE6E"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16353FAE" w14:textId="77777777" w:rsidR="005D16E3" w:rsidRPr="00973337" w:rsidRDefault="005D16E3" w:rsidP="000651D8">
            <w:pPr>
              <w:pStyle w:val="ListParagraph"/>
              <w:spacing w:after="0"/>
              <w:rPr>
                <w:b w:val="0"/>
                <w:bCs w:val="0"/>
              </w:rPr>
            </w:pPr>
            <w:r w:rsidRPr="00973337">
              <w:rPr>
                <w:b w:val="0"/>
                <w:bCs w:val="0"/>
              </w:rPr>
              <w:t>Measure A – 10-year crash history of fatal and serious injury crashes</w:t>
            </w:r>
          </w:p>
        </w:tc>
        <w:tc>
          <w:tcPr>
            <w:tcW w:w="1080" w:type="dxa"/>
            <w:tcBorders>
              <w:top w:val="nil"/>
              <w:bottom w:val="single" w:sz="18" w:space="0" w:color="4F81BD" w:themeColor="accent1"/>
            </w:tcBorders>
            <w:vAlign w:val="center"/>
          </w:tcPr>
          <w:p w14:paraId="7B8DA41D"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15</w:t>
            </w:r>
          </w:p>
        </w:tc>
      </w:tr>
      <w:tr w:rsidR="005D16E3" w:rsidRPr="00D068AB" w14:paraId="4EE7B043"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71AAD908" w14:textId="77777777" w:rsidR="005D16E3" w:rsidRPr="00973337" w:rsidRDefault="005D16E3" w:rsidP="005D16E3">
            <w:pPr>
              <w:pStyle w:val="ListParagraph"/>
              <w:numPr>
                <w:ilvl w:val="0"/>
                <w:numId w:val="18"/>
              </w:numPr>
              <w:spacing w:after="0"/>
              <w:ind w:left="720"/>
            </w:pPr>
            <w:r w:rsidRPr="00973337">
              <w:t>Improvements for People Outside of Vehicles</w:t>
            </w:r>
          </w:p>
        </w:tc>
        <w:tc>
          <w:tcPr>
            <w:tcW w:w="1080" w:type="dxa"/>
            <w:tcBorders>
              <w:top w:val="single" w:sz="18" w:space="0" w:color="4F81BD" w:themeColor="accent1"/>
              <w:bottom w:val="nil"/>
            </w:tcBorders>
            <w:vAlign w:val="center"/>
          </w:tcPr>
          <w:p w14:paraId="504DACB6"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25</w:t>
            </w:r>
          </w:p>
        </w:tc>
      </w:tr>
      <w:tr w:rsidR="005D16E3" w:rsidRPr="00D068AB" w14:paraId="308E31B7"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961D4A1" w14:textId="77777777" w:rsidR="005D16E3" w:rsidRPr="00973337" w:rsidRDefault="005D16E3" w:rsidP="000651D8">
            <w:pPr>
              <w:pStyle w:val="ListParagraph"/>
              <w:spacing w:after="0"/>
              <w:rPr>
                <w:b w:val="0"/>
                <w:bCs w:val="0"/>
              </w:rPr>
            </w:pPr>
            <w:r w:rsidRPr="00973337">
              <w:rPr>
                <w:b w:val="0"/>
                <w:bCs w:val="0"/>
              </w:rPr>
              <w:t>Measure A – Project-based pedestrian safety enhancements and risk elements</w:t>
            </w:r>
          </w:p>
        </w:tc>
        <w:tc>
          <w:tcPr>
            <w:tcW w:w="1080" w:type="dxa"/>
            <w:tcBorders>
              <w:top w:val="nil"/>
              <w:bottom w:val="single" w:sz="18" w:space="0" w:color="4F81BD" w:themeColor="accent1"/>
            </w:tcBorders>
            <w:vAlign w:val="center"/>
          </w:tcPr>
          <w:p w14:paraId="57429655"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25</w:t>
            </w:r>
          </w:p>
        </w:tc>
      </w:tr>
      <w:tr w:rsidR="005D16E3" w:rsidRPr="00D068AB" w14:paraId="26CED4B8"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vAlign w:val="center"/>
          </w:tcPr>
          <w:p w14:paraId="5A161677" w14:textId="77777777" w:rsidR="005D16E3" w:rsidRPr="00973337" w:rsidRDefault="005D16E3" w:rsidP="005D16E3">
            <w:pPr>
              <w:pStyle w:val="ListParagraph"/>
              <w:numPr>
                <w:ilvl w:val="0"/>
                <w:numId w:val="18"/>
              </w:numPr>
              <w:spacing w:after="0"/>
              <w:ind w:left="720"/>
            </w:pPr>
            <w:r w:rsidRPr="00973337">
              <w:t>Community Considerations</w:t>
            </w:r>
          </w:p>
        </w:tc>
        <w:tc>
          <w:tcPr>
            <w:tcW w:w="1080" w:type="dxa"/>
            <w:tcBorders>
              <w:top w:val="single" w:sz="18" w:space="0" w:color="4F81BD" w:themeColor="accent1"/>
              <w:bottom w:val="nil"/>
            </w:tcBorders>
            <w:vAlign w:val="center"/>
          </w:tcPr>
          <w:p w14:paraId="7928A1A9"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5D16E3" w:rsidRPr="00D068AB" w14:paraId="2FE1104F"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67C3684A" w14:textId="77777777" w:rsidR="005D16E3" w:rsidRPr="00973337" w:rsidRDefault="005D16E3" w:rsidP="000651D8">
            <w:pPr>
              <w:pStyle w:val="ListParagraph"/>
              <w:spacing w:after="0"/>
              <w:rPr>
                <w:b w:val="0"/>
                <w:bCs w:val="0"/>
              </w:rPr>
            </w:pPr>
            <w:r w:rsidRPr="00973337">
              <w:rPr>
                <w:b w:val="0"/>
                <w:bCs w:val="0"/>
              </w:rPr>
              <w:t>Measure A – Community data and context</w:t>
            </w:r>
          </w:p>
        </w:tc>
        <w:tc>
          <w:tcPr>
            <w:tcW w:w="1080" w:type="dxa"/>
            <w:tcBorders>
              <w:top w:val="nil"/>
              <w:bottom w:val="nil"/>
            </w:tcBorders>
            <w:vAlign w:val="center"/>
          </w:tcPr>
          <w:p w14:paraId="573BE585"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5</w:t>
            </w:r>
          </w:p>
        </w:tc>
      </w:tr>
      <w:tr w:rsidR="005D16E3" w:rsidRPr="00D068AB" w14:paraId="3462C560"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683B7D3D" w14:textId="77777777" w:rsidR="005D16E3" w:rsidRPr="00973337" w:rsidRDefault="005D16E3" w:rsidP="000651D8">
            <w:pPr>
              <w:pStyle w:val="ListParagraph"/>
              <w:spacing w:after="0"/>
              <w:rPr>
                <w:b w:val="0"/>
                <w:bCs w:val="0"/>
              </w:rPr>
            </w:pPr>
            <w:r w:rsidRPr="00973337">
              <w:rPr>
                <w:b w:val="0"/>
                <w:bCs w:val="0"/>
              </w:rPr>
              <w:t>Measure B – Community need and future engagement</w:t>
            </w:r>
          </w:p>
        </w:tc>
        <w:tc>
          <w:tcPr>
            <w:tcW w:w="1080" w:type="dxa"/>
            <w:tcBorders>
              <w:top w:val="nil"/>
              <w:bottom w:val="nil"/>
            </w:tcBorders>
            <w:vAlign w:val="center"/>
          </w:tcPr>
          <w:p w14:paraId="3F4E2809"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5</w:t>
            </w:r>
          </w:p>
        </w:tc>
      </w:tr>
      <w:tr w:rsidR="005D16E3" w:rsidRPr="00D068AB" w14:paraId="3BCA961C"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vAlign w:val="center"/>
          </w:tcPr>
          <w:p w14:paraId="4C3AC120" w14:textId="77777777" w:rsidR="005D16E3" w:rsidRPr="00973337" w:rsidRDefault="005D16E3" w:rsidP="000651D8">
            <w:pPr>
              <w:pStyle w:val="ListParagraph"/>
              <w:spacing w:after="0"/>
              <w:rPr>
                <w:b w:val="0"/>
                <w:bCs w:val="0"/>
              </w:rPr>
            </w:pPr>
            <w:r w:rsidRPr="00973337">
              <w:rPr>
                <w:b w:val="0"/>
                <w:bCs w:val="0"/>
              </w:rPr>
              <w:t>Measure C – Community benefits</w:t>
            </w:r>
          </w:p>
        </w:tc>
        <w:tc>
          <w:tcPr>
            <w:tcW w:w="1080" w:type="dxa"/>
            <w:tcBorders>
              <w:top w:val="nil"/>
              <w:bottom w:val="single" w:sz="18" w:space="0" w:color="4F81BD" w:themeColor="accent1"/>
            </w:tcBorders>
            <w:vAlign w:val="center"/>
          </w:tcPr>
          <w:p w14:paraId="4A33AEED"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5</w:t>
            </w:r>
          </w:p>
        </w:tc>
      </w:tr>
      <w:tr w:rsidR="005D16E3" w:rsidRPr="00D068AB" w14:paraId="28750B57"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vAlign w:val="center"/>
          </w:tcPr>
          <w:p w14:paraId="65ED8C1B" w14:textId="77777777" w:rsidR="005D16E3" w:rsidRPr="00973337" w:rsidRDefault="005D16E3" w:rsidP="000651D8">
            <w:pPr>
              <w:spacing w:after="0"/>
            </w:pPr>
            <w:r w:rsidRPr="00973337">
              <w:t>Total</w:t>
            </w:r>
          </w:p>
        </w:tc>
        <w:tc>
          <w:tcPr>
            <w:tcW w:w="1080" w:type="dxa"/>
            <w:tcBorders>
              <w:top w:val="single" w:sz="18" w:space="0" w:color="4F81BD" w:themeColor="accent1"/>
            </w:tcBorders>
            <w:vAlign w:val="center"/>
          </w:tcPr>
          <w:p w14:paraId="532AB52B"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100</w:t>
            </w:r>
          </w:p>
        </w:tc>
      </w:tr>
    </w:tbl>
    <w:p w14:paraId="2D40BE7B" w14:textId="77777777" w:rsidR="005D16E3" w:rsidRDefault="005D16E3" w:rsidP="005D16E3"/>
    <w:p w14:paraId="27D83F2A" w14:textId="77777777" w:rsidR="005D16E3" w:rsidRDefault="005D16E3" w:rsidP="005D16E3">
      <w:pPr>
        <w:spacing w:after="0"/>
      </w:pPr>
      <w:r>
        <w:br w:type="page"/>
      </w:r>
    </w:p>
    <w:p w14:paraId="2DFBF6DD" w14:textId="77777777" w:rsidR="005D16E3" w:rsidRDefault="005D16E3" w:rsidP="005D16E3">
      <w:pPr>
        <w:pStyle w:val="Heading1"/>
      </w:pPr>
      <w:r>
        <w:lastRenderedPageBreak/>
        <w:t>Examples of Eligible Projects</w:t>
      </w:r>
    </w:p>
    <w:p w14:paraId="363A5680" w14:textId="77777777" w:rsidR="005D16E3" w:rsidRPr="00973337" w:rsidRDefault="005D16E3" w:rsidP="005D16E3">
      <w:bookmarkStart w:id="2" w:name="_Hlk211888958"/>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bookmarkEnd w:id="2"/>
    <w:p w14:paraId="77153AA6" w14:textId="77777777" w:rsidR="005D16E3" w:rsidRPr="00973337" w:rsidRDefault="005D16E3" w:rsidP="005D16E3">
      <w:pPr>
        <w:pStyle w:val="ListBullet"/>
        <w:tabs>
          <w:tab w:val="clear" w:pos="540"/>
        </w:tabs>
        <w:spacing w:after="240"/>
        <w:contextualSpacing/>
      </w:pPr>
      <w:r w:rsidRPr="00973337">
        <w:t xml:space="preserve">New intersection controls (e.g., roundabouts, reduced conflict intersections (RCIs), J-turns, refer to </w:t>
      </w:r>
      <w:hyperlink r:id="rId59" w:history="1">
        <w:r w:rsidRPr="00D76846">
          <w:rPr>
            <w:rStyle w:val="Hyperlink"/>
          </w:rPr>
          <w:t>FHWA’s Proven Safety Countermeasures</w:t>
        </w:r>
      </w:hyperlink>
      <w:r w:rsidRPr="00973337">
        <w:t xml:space="preserve"> for additional information)</w:t>
      </w:r>
    </w:p>
    <w:p w14:paraId="0477DD75" w14:textId="77777777" w:rsidR="005D16E3" w:rsidRPr="00973337" w:rsidRDefault="005D16E3" w:rsidP="005D16E3">
      <w:pPr>
        <w:pStyle w:val="ListBullet"/>
        <w:tabs>
          <w:tab w:val="clear" w:pos="540"/>
        </w:tabs>
        <w:spacing w:after="240"/>
        <w:contextualSpacing/>
      </w:pPr>
      <w:r w:rsidRPr="00973337">
        <w:t xml:space="preserve">Intersection modifications (e.g., pavement messages, stop bars, lighting) </w:t>
      </w:r>
    </w:p>
    <w:p w14:paraId="05777B65" w14:textId="77777777" w:rsidR="005D16E3" w:rsidRPr="00973337" w:rsidRDefault="005D16E3" w:rsidP="005D16E3">
      <w:pPr>
        <w:pStyle w:val="ListBullet"/>
        <w:tabs>
          <w:tab w:val="clear" w:pos="540"/>
        </w:tabs>
        <w:spacing w:after="240"/>
        <w:contextualSpacing/>
      </w:pPr>
      <w:r w:rsidRPr="00973337">
        <w:t>Separated bicycle or pedestrian facilities (e.g., trails, shared use paths, walkways)</w:t>
      </w:r>
    </w:p>
    <w:p w14:paraId="53C57369" w14:textId="77777777" w:rsidR="005D16E3" w:rsidRPr="00973337" w:rsidRDefault="005D16E3" w:rsidP="005D16E3">
      <w:pPr>
        <w:pStyle w:val="ListBullet"/>
        <w:tabs>
          <w:tab w:val="clear" w:pos="540"/>
        </w:tabs>
        <w:spacing w:after="240"/>
        <w:contextualSpacing/>
      </w:pPr>
      <w:r w:rsidRPr="00973337">
        <w:t>Pedestrian crossing treatments (e.g., curb extensions, bump-outs, pedestrian countdown timers, pedestrian refuge islands and medians, raised crossings, rectangular rapid flashing beacons (RRFBs))</w:t>
      </w:r>
    </w:p>
    <w:p w14:paraId="58E952F1" w14:textId="77777777" w:rsidR="005D16E3" w:rsidRPr="00973337" w:rsidRDefault="005D16E3" w:rsidP="005D16E3">
      <w:pPr>
        <w:pStyle w:val="ListBullet"/>
        <w:tabs>
          <w:tab w:val="clear" w:pos="540"/>
        </w:tabs>
        <w:spacing w:after="240"/>
        <w:contextualSpacing/>
      </w:pPr>
      <w:r w:rsidRPr="00973337">
        <w:t>Roadway reconstruction or reconfiguration that focuses on safety improvements (e.g., adding turn lanes, adding medians, adding bypass lanes or bypass lane conversions, changing intersection control, etc.)</w:t>
      </w:r>
    </w:p>
    <w:p w14:paraId="0A1FD28D" w14:textId="77777777" w:rsidR="005D16E3" w:rsidRPr="00973337" w:rsidRDefault="005D16E3" w:rsidP="005D16E3">
      <w:pPr>
        <w:pStyle w:val="ListBullet"/>
        <w:tabs>
          <w:tab w:val="clear" w:pos="540"/>
        </w:tabs>
        <w:spacing w:after="240"/>
        <w:contextualSpacing/>
      </w:pPr>
      <w:r w:rsidRPr="00973337">
        <w:t xml:space="preserve">Road diets, lane modifications or turn lanes (e.g., 3 to 2-lane conversions, lane narrowing, bypass lane conversion, turn lane modifications, etc.) </w:t>
      </w:r>
    </w:p>
    <w:p w14:paraId="01DD2D63" w14:textId="77777777" w:rsidR="005D16E3" w:rsidRPr="00973337" w:rsidRDefault="005D16E3" w:rsidP="005D16E3">
      <w:pPr>
        <w:pStyle w:val="ListBullet"/>
        <w:tabs>
          <w:tab w:val="clear" w:pos="540"/>
        </w:tabs>
        <w:spacing w:after="240"/>
        <w:contextualSpacing/>
      </w:pPr>
      <w:r w:rsidRPr="00973337">
        <w:t>Segment safety improvements (e.g., rumble strips, wider striping (6”), embedded wet reflective striping, cable median barrier, delineation for sharp curves (chevrons), new guardrail (not replacement), shoulder widening, safety edge, friction treatments, lighting)</w:t>
      </w:r>
    </w:p>
    <w:p w14:paraId="1D22F15B" w14:textId="77777777" w:rsidR="005D16E3" w:rsidRPr="00973337" w:rsidRDefault="005D16E3" w:rsidP="005D16E3">
      <w:pPr>
        <w:pStyle w:val="ListBullet"/>
        <w:tabs>
          <w:tab w:val="clear" w:pos="540"/>
        </w:tabs>
        <w:spacing w:after="240"/>
        <w:contextualSpacing/>
      </w:pPr>
      <w:r w:rsidRPr="00973337">
        <w:t xml:space="preserve">Sight distance improvements (e.g. lighting, turn lane modification, intersection modification, etc.) </w:t>
      </w:r>
    </w:p>
    <w:p w14:paraId="6091E0FD" w14:textId="77777777" w:rsidR="005D16E3" w:rsidRPr="00973337" w:rsidRDefault="005D16E3" w:rsidP="005D16E3">
      <w:pPr>
        <w:pStyle w:val="ListBullet"/>
        <w:tabs>
          <w:tab w:val="clear" w:pos="540"/>
        </w:tabs>
        <w:spacing w:after="240"/>
        <w:contextualSpacing/>
      </w:pPr>
      <w:r w:rsidRPr="00973337">
        <w:t xml:space="preserve">Access management changes (e.g. frontage roads or access removals) </w:t>
      </w:r>
    </w:p>
    <w:p w14:paraId="10B14FFD" w14:textId="19D77E3A" w:rsidR="005D16E3" w:rsidRDefault="005D16E3">
      <w:pPr>
        <w:spacing w:after="0"/>
      </w:pPr>
      <w:r>
        <w:br w:type="page"/>
      </w:r>
    </w:p>
    <w:p w14:paraId="75CD4C88" w14:textId="77777777" w:rsidR="005D16E3" w:rsidRDefault="005D16E3" w:rsidP="005D16E3">
      <w:pPr>
        <w:pStyle w:val="ReportTitle"/>
      </w:pPr>
      <w:r>
        <w:lastRenderedPageBreak/>
        <w:t>Reactive Safety</w:t>
      </w:r>
    </w:p>
    <w:p w14:paraId="5FFDF1D8" w14:textId="77777777" w:rsidR="005D16E3" w:rsidRPr="00130D45" w:rsidRDefault="005D16E3" w:rsidP="005D16E3">
      <w:pPr>
        <w:pStyle w:val="Heading1"/>
        <w:rPr>
          <w:sz w:val="32"/>
        </w:rPr>
      </w:pPr>
      <w:r w:rsidRPr="03FD4FA3">
        <w:rPr>
          <w:sz w:val="32"/>
        </w:rPr>
        <w:t>Prioritizing Criteria and Measures</w:t>
      </w:r>
    </w:p>
    <w:p w14:paraId="2C33CFCD" w14:textId="214113AF" w:rsidR="005D16E3" w:rsidRPr="00973337" w:rsidRDefault="005D16E3" w:rsidP="005D16E3">
      <w:pPr>
        <w:rPr>
          <w:b/>
          <w:bCs/>
        </w:rPr>
      </w:pPr>
      <w:r w:rsidRPr="00973337">
        <w:rPr>
          <w:b/>
          <w:bCs/>
        </w:rPr>
        <w:t xml:space="preserve">2050 TPP Goal: </w:t>
      </w:r>
      <w:r w:rsidRPr="00973337">
        <w:t>Our communities are healthy and safe</w:t>
      </w:r>
    </w:p>
    <w:p w14:paraId="5AB7A744" w14:textId="77777777" w:rsidR="005D16E3" w:rsidRPr="00973337" w:rsidRDefault="005D16E3" w:rsidP="005D16E3">
      <w:pPr>
        <w:spacing w:after="0"/>
        <w:rPr>
          <w:b/>
          <w:bCs/>
        </w:rPr>
      </w:pPr>
      <w:r w:rsidRPr="00973337">
        <w:rPr>
          <w:b/>
          <w:bCs/>
        </w:rPr>
        <w:t xml:space="preserve">2050 TPP Objectives or Policies: </w:t>
      </w:r>
    </w:p>
    <w:p w14:paraId="5298B398" w14:textId="77777777" w:rsidR="005D16E3" w:rsidRPr="00973337" w:rsidRDefault="005D16E3" w:rsidP="005D16E3">
      <w:pPr>
        <w:pStyle w:val="ListBullet"/>
        <w:tabs>
          <w:tab w:val="clear" w:pos="540"/>
        </w:tabs>
        <w:spacing w:after="240"/>
        <w:contextualSpacing/>
      </w:pPr>
      <w:r w:rsidRPr="00973337">
        <w:t xml:space="preserve">Work to eliminate fatalities and serious injuries from traffic crashes and incidents on the transportation system by 2050 using the </w:t>
      </w:r>
      <w:hyperlink r:id="rId60" w:history="1">
        <w:r w:rsidRPr="00D76846">
          <w:rPr>
            <w:rStyle w:val="Hyperlink"/>
          </w:rPr>
          <w:t>Safe System Approach</w:t>
        </w:r>
      </w:hyperlink>
      <w:r w:rsidRPr="00973337">
        <w:t>.</w:t>
      </w:r>
    </w:p>
    <w:p w14:paraId="472EAA88" w14:textId="77777777" w:rsidR="005D16E3" w:rsidRPr="00973337" w:rsidRDefault="005D16E3" w:rsidP="005D16E3">
      <w:pPr>
        <w:pStyle w:val="ListBullet"/>
        <w:tabs>
          <w:tab w:val="clear" w:pos="540"/>
        </w:tabs>
        <w:spacing w:after="240"/>
        <w:contextualSpacing/>
      </w:pPr>
      <w:r w:rsidRPr="00973337">
        <w:t>Emphasize and prioritize the safety of people outside of vehicles in the transportation right-of-way.</w:t>
      </w:r>
    </w:p>
    <w:p w14:paraId="6450F4DA" w14:textId="77777777" w:rsidR="005D16E3" w:rsidRPr="00973337" w:rsidRDefault="005D16E3" w:rsidP="005D16E3">
      <w:pPr>
        <w:rPr>
          <w:b/>
          <w:bCs/>
        </w:rPr>
      </w:pPr>
      <w:r w:rsidRPr="00973337">
        <w:rPr>
          <w:b/>
          <w:bCs/>
        </w:rPr>
        <w:t xml:space="preserve">Category Definition: </w:t>
      </w:r>
      <w:r w:rsidRPr="00973337">
        <w:t>The Reactive Safety application category seeks to fund projects that reduce fatalities and serious injuries, as well as increase safety and comfort for people outside of vehicles by focusing on locations with a high documented severe crash history.</w:t>
      </w:r>
    </w:p>
    <w:p w14:paraId="10CE3A0C" w14:textId="77777777" w:rsidR="005D16E3" w:rsidRPr="00D068AB" w:rsidRDefault="005D16E3" w:rsidP="005D16E3">
      <w:pPr>
        <w:pStyle w:val="Heading1"/>
      </w:pPr>
      <w:r w:rsidRPr="00D068AB">
        <w:t>Scoring</w:t>
      </w:r>
    </w:p>
    <w:tbl>
      <w:tblPr>
        <w:tblStyle w:val="ListTable3-Accent1"/>
        <w:tblW w:w="5000" w:type="pct"/>
        <w:tblLook w:val="04A0" w:firstRow="1" w:lastRow="0" w:firstColumn="1" w:lastColumn="0" w:noHBand="0" w:noVBand="1"/>
      </w:tblPr>
      <w:tblGrid>
        <w:gridCol w:w="8862"/>
        <w:gridCol w:w="1208"/>
      </w:tblGrid>
      <w:tr w:rsidR="005D16E3" w:rsidRPr="00D068AB" w14:paraId="296566CF" w14:textId="77777777" w:rsidTr="005D16E3">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4" w:space="0" w:color="4F81BD" w:themeColor="accent1"/>
            </w:tcBorders>
          </w:tcPr>
          <w:p w14:paraId="52959295" w14:textId="77777777" w:rsidR="005D16E3" w:rsidRPr="001B746B" w:rsidRDefault="005D16E3" w:rsidP="000651D8">
            <w:pPr>
              <w:pStyle w:val="TableHeader"/>
              <w:spacing w:before="120" w:after="0"/>
              <w:rPr>
                <w:rFonts w:ascii="Arial" w:hAnsi="Arial"/>
                <w:b/>
                <w:bCs/>
              </w:rPr>
            </w:pPr>
            <w:r w:rsidRPr="005D16E3">
              <w:rPr>
                <w:rFonts w:ascii="Arial" w:hAnsi="Arial"/>
                <w:b/>
                <w:bCs/>
                <w:color w:val="FFFFFF" w:themeColor="background1"/>
                <w:szCs w:val="22"/>
              </w:rPr>
              <w:t>Criteria and Measures</w:t>
            </w:r>
          </w:p>
        </w:tc>
        <w:tc>
          <w:tcPr>
            <w:tcW w:w="1080" w:type="dxa"/>
            <w:tcBorders>
              <w:bottom w:val="single" w:sz="4" w:space="0" w:color="4F81BD" w:themeColor="accent1"/>
            </w:tcBorders>
            <w:vAlign w:val="center"/>
          </w:tcPr>
          <w:p w14:paraId="65592ECD" w14:textId="77777777" w:rsidR="005D16E3" w:rsidRPr="001B746B" w:rsidRDefault="005D16E3"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ascii="Arial" w:hAnsi="Arial"/>
                <w:b/>
                <w:bCs/>
              </w:rPr>
            </w:pPr>
            <w:r w:rsidRPr="005D16E3">
              <w:rPr>
                <w:rFonts w:ascii="Arial" w:hAnsi="Arial"/>
                <w:b/>
                <w:bCs/>
                <w:color w:val="FFFFFF" w:themeColor="background1"/>
                <w:szCs w:val="22"/>
              </w:rPr>
              <w:t>%</w:t>
            </w:r>
          </w:p>
        </w:tc>
      </w:tr>
      <w:tr w:rsidR="005D16E3" w:rsidRPr="00D068AB" w14:paraId="67D2EF44"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bottom w:val="nil"/>
            </w:tcBorders>
          </w:tcPr>
          <w:p w14:paraId="3225E21A" w14:textId="77777777" w:rsidR="005D16E3" w:rsidRPr="00973337" w:rsidRDefault="005D16E3" w:rsidP="00404DD3">
            <w:pPr>
              <w:pStyle w:val="ListParagraph"/>
              <w:numPr>
                <w:ilvl w:val="0"/>
                <w:numId w:val="25"/>
              </w:numPr>
              <w:spacing w:after="0"/>
              <w:ind w:left="720"/>
              <w:rPr>
                <w:b w:val="0"/>
                <w:bCs w:val="0"/>
              </w:rPr>
            </w:pPr>
            <w:r w:rsidRPr="00973337">
              <w:t>Expected Reduction in Fatal and Serious Injury Crashes</w:t>
            </w:r>
          </w:p>
        </w:tc>
        <w:tc>
          <w:tcPr>
            <w:tcW w:w="1080" w:type="dxa"/>
            <w:tcBorders>
              <w:bottom w:val="nil"/>
            </w:tcBorders>
            <w:vAlign w:val="center"/>
          </w:tcPr>
          <w:p w14:paraId="5DE9A7B0"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35</w:t>
            </w:r>
          </w:p>
        </w:tc>
      </w:tr>
      <w:tr w:rsidR="005D16E3" w:rsidRPr="00D068AB" w14:paraId="01E2EDD3"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231E5DD" w14:textId="77777777" w:rsidR="005D16E3" w:rsidRPr="00973337" w:rsidRDefault="005D16E3" w:rsidP="000651D8">
            <w:pPr>
              <w:pStyle w:val="ListParagraph"/>
              <w:spacing w:after="0"/>
            </w:pPr>
            <w:r w:rsidRPr="00973337">
              <w:rPr>
                <w:b w:val="0"/>
                <w:bCs w:val="0"/>
              </w:rPr>
              <w:t>Measure A – Crashes reduced (Benefit/Cost ratio)</w:t>
            </w:r>
          </w:p>
        </w:tc>
        <w:tc>
          <w:tcPr>
            <w:tcW w:w="1080" w:type="dxa"/>
            <w:tcBorders>
              <w:top w:val="nil"/>
              <w:bottom w:val="single" w:sz="18" w:space="0" w:color="4F81BD" w:themeColor="accent1"/>
            </w:tcBorders>
            <w:vAlign w:val="center"/>
          </w:tcPr>
          <w:p w14:paraId="51C807E0"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35</w:t>
            </w:r>
          </w:p>
        </w:tc>
      </w:tr>
      <w:tr w:rsidR="005D16E3" w:rsidRPr="00D068AB" w14:paraId="2323B192"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79CA7C22" w14:textId="77777777" w:rsidR="005D16E3" w:rsidRPr="00973337" w:rsidRDefault="005D16E3" w:rsidP="00404DD3">
            <w:pPr>
              <w:pStyle w:val="ListParagraph"/>
              <w:numPr>
                <w:ilvl w:val="0"/>
                <w:numId w:val="25"/>
              </w:numPr>
              <w:spacing w:after="0"/>
              <w:ind w:left="720"/>
              <w:rPr>
                <w:b w:val="0"/>
                <w:bCs w:val="0"/>
              </w:rPr>
            </w:pPr>
            <w:r w:rsidRPr="00973337">
              <w:t>Connection to Existing Safety Planning Efforts</w:t>
            </w:r>
          </w:p>
        </w:tc>
        <w:tc>
          <w:tcPr>
            <w:tcW w:w="1080" w:type="dxa"/>
            <w:tcBorders>
              <w:top w:val="single" w:sz="18" w:space="0" w:color="4F81BD" w:themeColor="accent1"/>
              <w:bottom w:val="nil"/>
            </w:tcBorders>
            <w:vAlign w:val="center"/>
          </w:tcPr>
          <w:p w14:paraId="41E902F8"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5D16E3" w:rsidRPr="00D068AB" w14:paraId="09A2B7F0"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B6000D6" w14:textId="77777777" w:rsidR="005D16E3" w:rsidRPr="00973337" w:rsidRDefault="005D16E3" w:rsidP="000651D8">
            <w:pPr>
              <w:pStyle w:val="ListParagraph"/>
              <w:spacing w:after="0"/>
            </w:pPr>
            <w:r w:rsidRPr="00973337">
              <w:rPr>
                <w:b w:val="0"/>
                <w:bCs w:val="0"/>
              </w:rPr>
              <w:t>Measure A – Connection to existing safety planning efforts</w:t>
            </w:r>
          </w:p>
        </w:tc>
        <w:tc>
          <w:tcPr>
            <w:tcW w:w="1080" w:type="dxa"/>
            <w:tcBorders>
              <w:top w:val="nil"/>
              <w:bottom w:val="single" w:sz="18" w:space="0" w:color="4F81BD" w:themeColor="accent1"/>
            </w:tcBorders>
            <w:vAlign w:val="center"/>
          </w:tcPr>
          <w:p w14:paraId="120FF7D1"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20</w:t>
            </w:r>
          </w:p>
        </w:tc>
      </w:tr>
      <w:tr w:rsidR="005D16E3" w:rsidRPr="00D068AB" w14:paraId="74FDC32A"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42772FB4" w14:textId="77777777" w:rsidR="005D16E3" w:rsidRPr="00973337" w:rsidRDefault="005D16E3" w:rsidP="00404DD3">
            <w:pPr>
              <w:pStyle w:val="ListParagraph"/>
              <w:numPr>
                <w:ilvl w:val="0"/>
                <w:numId w:val="25"/>
              </w:numPr>
              <w:spacing w:after="0"/>
              <w:ind w:left="720"/>
            </w:pPr>
            <w:r w:rsidRPr="00973337">
              <w:t>Fatal and Serious Injury Crash History</w:t>
            </w:r>
          </w:p>
        </w:tc>
        <w:tc>
          <w:tcPr>
            <w:tcW w:w="1080" w:type="dxa"/>
            <w:tcBorders>
              <w:top w:val="single" w:sz="18" w:space="0" w:color="4F81BD" w:themeColor="accent1"/>
              <w:bottom w:val="nil"/>
            </w:tcBorders>
            <w:vAlign w:val="center"/>
          </w:tcPr>
          <w:p w14:paraId="20E10EB4"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5</w:t>
            </w:r>
          </w:p>
        </w:tc>
      </w:tr>
      <w:tr w:rsidR="005D16E3" w:rsidRPr="00D068AB" w14:paraId="4EB7E959"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46350FCE" w14:textId="77777777" w:rsidR="005D16E3" w:rsidRPr="00973337" w:rsidRDefault="005D16E3" w:rsidP="000651D8">
            <w:pPr>
              <w:pStyle w:val="ListParagraph"/>
              <w:spacing w:after="0"/>
            </w:pPr>
            <w:r w:rsidRPr="00973337">
              <w:rPr>
                <w:b w:val="0"/>
                <w:bCs w:val="0"/>
              </w:rPr>
              <w:t>Measure A – 10-year crash history of fatal and serious injury crashes</w:t>
            </w:r>
          </w:p>
        </w:tc>
        <w:tc>
          <w:tcPr>
            <w:tcW w:w="1080" w:type="dxa"/>
            <w:tcBorders>
              <w:top w:val="nil"/>
              <w:bottom w:val="single" w:sz="18" w:space="0" w:color="4F81BD" w:themeColor="accent1"/>
            </w:tcBorders>
            <w:vAlign w:val="center"/>
          </w:tcPr>
          <w:p w14:paraId="71907A7C"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5</w:t>
            </w:r>
          </w:p>
        </w:tc>
      </w:tr>
      <w:tr w:rsidR="005D16E3" w:rsidRPr="00D068AB" w14:paraId="2766C3F3"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007FD061" w14:textId="77777777" w:rsidR="005D16E3" w:rsidRPr="00973337" w:rsidRDefault="005D16E3" w:rsidP="00404DD3">
            <w:pPr>
              <w:pStyle w:val="ListParagraph"/>
              <w:numPr>
                <w:ilvl w:val="0"/>
                <w:numId w:val="25"/>
              </w:numPr>
              <w:spacing w:after="0"/>
              <w:ind w:left="720"/>
            </w:pPr>
            <w:r w:rsidRPr="00973337">
              <w:t>Improvements for People Outside of Vehicles</w:t>
            </w:r>
          </w:p>
        </w:tc>
        <w:tc>
          <w:tcPr>
            <w:tcW w:w="1080" w:type="dxa"/>
            <w:tcBorders>
              <w:top w:val="single" w:sz="18" w:space="0" w:color="4F81BD" w:themeColor="accent1"/>
              <w:bottom w:val="nil"/>
            </w:tcBorders>
            <w:vAlign w:val="center"/>
          </w:tcPr>
          <w:p w14:paraId="70CDEF6B"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25</w:t>
            </w:r>
          </w:p>
        </w:tc>
      </w:tr>
      <w:tr w:rsidR="005D16E3" w:rsidRPr="00D068AB" w14:paraId="2EB70A99"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C78004B" w14:textId="77777777" w:rsidR="005D16E3" w:rsidRPr="00973337" w:rsidRDefault="005D16E3" w:rsidP="000651D8">
            <w:pPr>
              <w:pStyle w:val="ListParagraph"/>
              <w:spacing w:after="0"/>
            </w:pPr>
            <w:r w:rsidRPr="00973337">
              <w:rPr>
                <w:b w:val="0"/>
                <w:bCs w:val="0"/>
              </w:rPr>
              <w:t>Measure A – Project-based pedestrian safety enhancements and risk elements</w:t>
            </w:r>
          </w:p>
        </w:tc>
        <w:tc>
          <w:tcPr>
            <w:tcW w:w="1080" w:type="dxa"/>
            <w:tcBorders>
              <w:top w:val="nil"/>
              <w:bottom w:val="single" w:sz="18" w:space="0" w:color="4F81BD" w:themeColor="accent1"/>
            </w:tcBorders>
            <w:vAlign w:val="center"/>
          </w:tcPr>
          <w:p w14:paraId="0710E893"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25</w:t>
            </w:r>
          </w:p>
        </w:tc>
      </w:tr>
      <w:tr w:rsidR="005D16E3" w:rsidRPr="00D068AB" w14:paraId="753CD665"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3F1E5617" w14:textId="77777777" w:rsidR="005D16E3" w:rsidRPr="00973337" w:rsidRDefault="005D16E3" w:rsidP="00404DD3">
            <w:pPr>
              <w:pStyle w:val="ListParagraph"/>
              <w:numPr>
                <w:ilvl w:val="0"/>
                <w:numId w:val="25"/>
              </w:numPr>
              <w:spacing w:after="0"/>
              <w:ind w:left="720"/>
            </w:pPr>
            <w:r w:rsidRPr="00973337">
              <w:t xml:space="preserve">Community Considerations </w:t>
            </w:r>
          </w:p>
        </w:tc>
        <w:tc>
          <w:tcPr>
            <w:tcW w:w="1080" w:type="dxa"/>
            <w:tcBorders>
              <w:top w:val="single" w:sz="18" w:space="0" w:color="4F81BD" w:themeColor="accent1"/>
              <w:bottom w:val="nil"/>
            </w:tcBorders>
            <w:vAlign w:val="center"/>
          </w:tcPr>
          <w:p w14:paraId="792756E0"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5D16E3" w:rsidRPr="00D068AB" w14:paraId="3B09EB67"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39F9C6D2" w14:textId="77777777" w:rsidR="005D16E3" w:rsidRPr="00973337" w:rsidRDefault="005D16E3" w:rsidP="000651D8">
            <w:pPr>
              <w:pStyle w:val="ListParagraph"/>
              <w:spacing w:after="0"/>
            </w:pPr>
            <w:r w:rsidRPr="00973337">
              <w:rPr>
                <w:b w:val="0"/>
                <w:bCs w:val="0"/>
              </w:rPr>
              <w:t>Measure A – Community data and context</w:t>
            </w:r>
          </w:p>
        </w:tc>
        <w:tc>
          <w:tcPr>
            <w:tcW w:w="1080" w:type="dxa"/>
            <w:tcBorders>
              <w:top w:val="nil"/>
              <w:bottom w:val="nil"/>
            </w:tcBorders>
            <w:vAlign w:val="center"/>
          </w:tcPr>
          <w:p w14:paraId="32351F98"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5</w:t>
            </w:r>
          </w:p>
        </w:tc>
      </w:tr>
      <w:tr w:rsidR="005D16E3" w:rsidRPr="00D068AB" w14:paraId="491BFA1B"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06989873" w14:textId="77777777" w:rsidR="005D16E3" w:rsidRPr="00973337" w:rsidRDefault="005D16E3" w:rsidP="000651D8">
            <w:pPr>
              <w:pStyle w:val="ListParagraph"/>
              <w:spacing w:after="0"/>
            </w:pPr>
            <w:r w:rsidRPr="00973337">
              <w:rPr>
                <w:b w:val="0"/>
                <w:bCs w:val="0"/>
              </w:rPr>
              <w:t>Measure B – Community need and future engagement</w:t>
            </w:r>
          </w:p>
        </w:tc>
        <w:tc>
          <w:tcPr>
            <w:tcW w:w="1080" w:type="dxa"/>
            <w:tcBorders>
              <w:top w:val="nil"/>
              <w:bottom w:val="nil"/>
            </w:tcBorders>
            <w:vAlign w:val="center"/>
          </w:tcPr>
          <w:p w14:paraId="271E1BC4"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5</w:t>
            </w:r>
          </w:p>
        </w:tc>
      </w:tr>
      <w:tr w:rsidR="005D16E3" w:rsidRPr="00D068AB" w14:paraId="5576D20B"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5156B7B9" w14:textId="77777777" w:rsidR="005D16E3" w:rsidRPr="00973337" w:rsidRDefault="005D16E3" w:rsidP="000651D8">
            <w:pPr>
              <w:pStyle w:val="ListParagraph"/>
              <w:spacing w:after="0"/>
            </w:pPr>
            <w:r w:rsidRPr="00973337">
              <w:rPr>
                <w:b w:val="0"/>
                <w:bCs w:val="0"/>
              </w:rPr>
              <w:t>Measure C – Community benefits</w:t>
            </w:r>
          </w:p>
        </w:tc>
        <w:tc>
          <w:tcPr>
            <w:tcW w:w="1080" w:type="dxa"/>
            <w:tcBorders>
              <w:top w:val="nil"/>
            </w:tcBorders>
            <w:vAlign w:val="center"/>
          </w:tcPr>
          <w:p w14:paraId="69A0B619"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5</w:t>
            </w:r>
          </w:p>
        </w:tc>
      </w:tr>
      <w:tr w:rsidR="005D16E3" w:rsidRPr="00D068AB" w14:paraId="7CC924F1"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4A64DE97" w14:textId="77777777" w:rsidR="005D16E3" w:rsidRPr="00973337" w:rsidRDefault="005D16E3" w:rsidP="000651D8">
            <w:pPr>
              <w:spacing w:after="0"/>
            </w:pPr>
            <w:r w:rsidRPr="00973337">
              <w:t>Total</w:t>
            </w:r>
          </w:p>
        </w:tc>
        <w:tc>
          <w:tcPr>
            <w:tcW w:w="1080" w:type="dxa"/>
            <w:tcBorders>
              <w:top w:val="single" w:sz="18" w:space="0" w:color="4F81BD" w:themeColor="accent1"/>
            </w:tcBorders>
            <w:vAlign w:val="center"/>
          </w:tcPr>
          <w:p w14:paraId="3ED4979D"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100</w:t>
            </w:r>
          </w:p>
        </w:tc>
      </w:tr>
    </w:tbl>
    <w:p w14:paraId="4B9B399F" w14:textId="77777777" w:rsidR="005D16E3" w:rsidRDefault="005D16E3" w:rsidP="005D16E3"/>
    <w:p w14:paraId="1CFE5D35" w14:textId="77777777" w:rsidR="005D16E3" w:rsidRDefault="005D16E3" w:rsidP="005D16E3">
      <w:pPr>
        <w:spacing w:after="0"/>
      </w:pPr>
      <w:r>
        <w:br w:type="page"/>
      </w:r>
    </w:p>
    <w:p w14:paraId="654A88ED" w14:textId="77777777" w:rsidR="005D16E3" w:rsidRDefault="005D16E3" w:rsidP="005D16E3">
      <w:pPr>
        <w:pStyle w:val="Heading1"/>
        <w:rPr>
          <w:sz w:val="32"/>
        </w:rPr>
      </w:pPr>
      <w:r w:rsidRPr="00C75AFD">
        <w:rPr>
          <w:sz w:val="32"/>
        </w:rPr>
        <w:lastRenderedPageBreak/>
        <w:t>Examples of Eligible Projects</w:t>
      </w:r>
    </w:p>
    <w:p w14:paraId="7773E1A8" w14:textId="77777777" w:rsidR="005D16E3" w:rsidRPr="00973337" w:rsidRDefault="005D16E3" w:rsidP="005D16E3">
      <w:bookmarkStart w:id="3" w:name="_Hlk211888209"/>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bookmarkEnd w:id="3"/>
    <w:p w14:paraId="33A4EA03" w14:textId="77777777" w:rsidR="005D16E3" w:rsidRPr="00973337" w:rsidRDefault="005D16E3" w:rsidP="005D16E3">
      <w:pPr>
        <w:pStyle w:val="ListBullet"/>
        <w:tabs>
          <w:tab w:val="clear" w:pos="540"/>
        </w:tabs>
        <w:spacing w:after="240"/>
        <w:contextualSpacing/>
      </w:pPr>
      <w:r w:rsidRPr="00973337">
        <w:t xml:space="preserve">New intersection controls (e.g., roundabouts, reduced conflict intersections (RCIs), J-turns, refer to </w:t>
      </w:r>
      <w:hyperlink r:id="rId61" w:history="1">
        <w:r w:rsidRPr="00D76846">
          <w:rPr>
            <w:rStyle w:val="Hyperlink"/>
          </w:rPr>
          <w:t>FHWA’s Proven Safety Countermeasures</w:t>
        </w:r>
      </w:hyperlink>
      <w:r w:rsidRPr="00D76846">
        <w:rPr>
          <w:color w:val="005DAA"/>
        </w:rPr>
        <w:t xml:space="preserve"> </w:t>
      </w:r>
      <w:r w:rsidRPr="00973337">
        <w:t>for additional information)</w:t>
      </w:r>
    </w:p>
    <w:p w14:paraId="58B231DB" w14:textId="77777777" w:rsidR="005D16E3" w:rsidRPr="00973337" w:rsidRDefault="005D16E3" w:rsidP="005D16E3">
      <w:pPr>
        <w:pStyle w:val="ListBullet"/>
        <w:tabs>
          <w:tab w:val="clear" w:pos="540"/>
        </w:tabs>
        <w:spacing w:after="240"/>
        <w:contextualSpacing/>
      </w:pPr>
      <w:r w:rsidRPr="00973337">
        <w:t xml:space="preserve">Intersection modifications (e.g., pavement messages, stop bars, lighting) </w:t>
      </w:r>
    </w:p>
    <w:p w14:paraId="472F8450" w14:textId="77777777" w:rsidR="005D16E3" w:rsidRPr="00973337" w:rsidRDefault="005D16E3" w:rsidP="005D16E3">
      <w:pPr>
        <w:pStyle w:val="ListBullet"/>
        <w:tabs>
          <w:tab w:val="clear" w:pos="540"/>
        </w:tabs>
        <w:spacing w:after="240"/>
        <w:contextualSpacing/>
      </w:pPr>
      <w:r w:rsidRPr="00973337">
        <w:t>New or modernized grade separations/interchanges that are driven by a safety need</w:t>
      </w:r>
    </w:p>
    <w:p w14:paraId="04F3BE2B" w14:textId="77777777" w:rsidR="005D16E3" w:rsidRPr="00973337" w:rsidRDefault="005D16E3" w:rsidP="005D16E3">
      <w:pPr>
        <w:pStyle w:val="ListBullet"/>
        <w:tabs>
          <w:tab w:val="clear" w:pos="540"/>
        </w:tabs>
        <w:spacing w:after="240"/>
        <w:contextualSpacing/>
      </w:pPr>
      <w:r w:rsidRPr="00973337">
        <w:t>Separated bicycle or pedestrian facilities</w:t>
      </w:r>
    </w:p>
    <w:p w14:paraId="15D32794" w14:textId="77777777" w:rsidR="005D16E3" w:rsidRPr="00973337" w:rsidRDefault="005D16E3" w:rsidP="005D16E3">
      <w:pPr>
        <w:pStyle w:val="ListBullet"/>
        <w:tabs>
          <w:tab w:val="clear" w:pos="540"/>
        </w:tabs>
        <w:spacing w:after="240"/>
        <w:contextualSpacing/>
      </w:pPr>
      <w:r w:rsidRPr="00973337">
        <w:t>Pedestrian crossing treatments (e.g., curb extensions (bump-outs), pedestrian countdown timers, pedestrian refuge islands and raised medians, rectangular rapid flashing beacons (RRFBs)</w:t>
      </w:r>
    </w:p>
    <w:p w14:paraId="60A215D5" w14:textId="77777777" w:rsidR="005D16E3" w:rsidRPr="00973337" w:rsidRDefault="005D16E3" w:rsidP="005D16E3">
      <w:pPr>
        <w:pStyle w:val="ListBullet"/>
        <w:tabs>
          <w:tab w:val="clear" w:pos="540"/>
        </w:tabs>
        <w:spacing w:after="240"/>
        <w:contextualSpacing/>
      </w:pPr>
      <w:r w:rsidRPr="00973337">
        <w:t xml:space="preserve">Roadway reconstruction or reconfiguration that focuses on safety improvements (e.g., adding turn lanes, adding medians, adding bypass lanes or bypass lane conversions, changing intersection control, etc.) </w:t>
      </w:r>
    </w:p>
    <w:p w14:paraId="452C67A4" w14:textId="77777777" w:rsidR="005D16E3" w:rsidRPr="00973337" w:rsidRDefault="005D16E3" w:rsidP="005D16E3">
      <w:pPr>
        <w:pStyle w:val="ListBullet"/>
        <w:tabs>
          <w:tab w:val="clear" w:pos="540"/>
        </w:tabs>
        <w:spacing w:after="240"/>
        <w:contextualSpacing/>
      </w:pPr>
      <w:r w:rsidRPr="00973337">
        <w:t>Road diets, lane modifications or turn lanes (e.g., 3 to 2-lane conversions, lane narrowing, bypass lane conversion, turn lane modifications, etc.)</w:t>
      </w:r>
    </w:p>
    <w:p w14:paraId="5390E18F" w14:textId="77777777" w:rsidR="005D16E3" w:rsidRPr="00973337" w:rsidRDefault="005D16E3" w:rsidP="005D16E3">
      <w:pPr>
        <w:pStyle w:val="ListBullet"/>
        <w:tabs>
          <w:tab w:val="clear" w:pos="540"/>
        </w:tabs>
        <w:spacing w:after="240"/>
        <w:contextualSpacing/>
      </w:pPr>
      <w:r w:rsidRPr="00973337">
        <w:t>Segment safety improvements (e.g., rumble strips, wider striping (6”), embedded wet reflective striping, cable median barrier, delineation for sharp curves (chevrons), new guardrail (not replacement), shoulder widening, safety edge, friction treatments, lighting)</w:t>
      </w:r>
    </w:p>
    <w:p w14:paraId="782A02C3" w14:textId="77777777" w:rsidR="005D16E3" w:rsidRPr="00973337" w:rsidRDefault="005D16E3" w:rsidP="005D16E3">
      <w:pPr>
        <w:pStyle w:val="ListBullet"/>
        <w:tabs>
          <w:tab w:val="clear" w:pos="540"/>
        </w:tabs>
        <w:spacing w:after="240"/>
        <w:contextualSpacing/>
      </w:pPr>
      <w:r w:rsidRPr="00973337">
        <w:t xml:space="preserve">Sight distance improvements (e.g. lighting, turn lane modification, intersection modification, etc.)  </w:t>
      </w:r>
    </w:p>
    <w:p w14:paraId="7EB8EE8B" w14:textId="77777777" w:rsidR="005D16E3" w:rsidRPr="00973337" w:rsidRDefault="005D16E3" w:rsidP="005D16E3">
      <w:pPr>
        <w:pStyle w:val="ListBullet"/>
        <w:tabs>
          <w:tab w:val="clear" w:pos="540"/>
        </w:tabs>
        <w:spacing w:after="240"/>
        <w:contextualSpacing/>
      </w:pPr>
      <w:r w:rsidRPr="00973337">
        <w:t xml:space="preserve">Access management changes (e.g. frontage roads or access removals) </w:t>
      </w:r>
    </w:p>
    <w:p w14:paraId="7B124837" w14:textId="5B00E4E6" w:rsidR="005D16E3" w:rsidRDefault="005D16E3">
      <w:pPr>
        <w:spacing w:after="0"/>
      </w:pPr>
      <w:r>
        <w:br w:type="page"/>
      </w:r>
    </w:p>
    <w:p w14:paraId="23D8C8B3" w14:textId="77777777" w:rsidR="005D16E3" w:rsidRDefault="005D16E3" w:rsidP="005D16E3">
      <w:pPr>
        <w:pStyle w:val="ReportTitle"/>
      </w:pPr>
      <w:r>
        <w:lastRenderedPageBreak/>
        <w:t>REGIONAL bicycle facilities</w:t>
      </w:r>
    </w:p>
    <w:p w14:paraId="4E984548" w14:textId="77777777" w:rsidR="005D16E3" w:rsidRPr="00D02D16" w:rsidRDefault="005D16E3" w:rsidP="005D16E3">
      <w:pPr>
        <w:pStyle w:val="Heading1"/>
      </w:pPr>
      <w:r w:rsidRPr="00D02D16">
        <w:t>Prioritizing Criteria and Measures</w:t>
      </w:r>
    </w:p>
    <w:p w14:paraId="42A6B538" w14:textId="045137D7" w:rsidR="005D16E3" w:rsidRPr="00973337" w:rsidRDefault="005D16E3" w:rsidP="005D16E3">
      <w:pPr>
        <w:rPr>
          <w:b/>
          <w:bCs/>
        </w:rPr>
      </w:pPr>
      <w:r w:rsidRPr="00973337">
        <w:rPr>
          <w:b/>
          <w:bCs/>
        </w:rPr>
        <w:t xml:space="preserve">2050 TPP Goal: </w:t>
      </w:r>
      <w:r w:rsidRPr="00973337">
        <w:t xml:space="preserve">Our </w:t>
      </w:r>
      <w:r w:rsidR="008F493F">
        <w:t>r</w:t>
      </w:r>
      <w:r w:rsidRPr="00973337">
        <w:t xml:space="preserve">egion is </w:t>
      </w:r>
      <w:r w:rsidR="008F493F">
        <w:t>d</w:t>
      </w:r>
      <w:r w:rsidRPr="00973337">
        <w:t xml:space="preserve">ynamic and </w:t>
      </w:r>
      <w:r w:rsidR="008F493F">
        <w:t>r</w:t>
      </w:r>
      <w:r w:rsidRPr="00973337">
        <w:t>esilient</w:t>
      </w:r>
    </w:p>
    <w:p w14:paraId="10830BEC" w14:textId="77777777" w:rsidR="005D16E3" w:rsidRPr="00973337" w:rsidRDefault="005D16E3" w:rsidP="005D16E3">
      <w:pPr>
        <w:spacing w:after="0"/>
        <w:rPr>
          <w:b/>
          <w:bCs/>
        </w:rPr>
      </w:pPr>
      <w:r w:rsidRPr="00973337">
        <w:rPr>
          <w:rFonts w:eastAsia="Arial" w:cs="Arial"/>
          <w:b/>
          <w:bCs/>
        </w:rPr>
        <w:t>2050 TPP Objectives or Policies</w:t>
      </w:r>
      <w:r w:rsidRPr="00973337">
        <w:rPr>
          <w:b/>
          <w:bCs/>
        </w:rPr>
        <w:t xml:space="preserve">: </w:t>
      </w:r>
    </w:p>
    <w:p w14:paraId="0E6D29C4" w14:textId="77777777" w:rsidR="005D16E3" w:rsidRPr="00973337" w:rsidRDefault="005D16E3" w:rsidP="005D16E3">
      <w:pPr>
        <w:pStyle w:val="ListBullet"/>
        <w:tabs>
          <w:tab w:val="clear" w:pos="540"/>
        </w:tabs>
        <w:spacing w:after="240"/>
        <w:contextualSpacing/>
      </w:pPr>
      <w:r w:rsidRPr="00973337">
        <w:t xml:space="preserve">People have better travel options </w:t>
      </w:r>
      <w:proofErr w:type="gramStart"/>
      <w:r w:rsidRPr="00973337">
        <w:t>beyond</w:t>
      </w:r>
      <w:proofErr w:type="gramEnd"/>
      <w:r w:rsidRPr="00973337">
        <w:t xml:space="preserve"> driving alone to meet their daily needs, with a focus on improving travel times, reliability, directness, and affordability.</w:t>
      </w:r>
    </w:p>
    <w:p w14:paraId="0CE7ED31" w14:textId="77777777" w:rsidR="005D16E3" w:rsidRPr="00973337" w:rsidRDefault="005D16E3" w:rsidP="005D16E3">
      <w:pPr>
        <w:pStyle w:val="ListBullet"/>
        <w:tabs>
          <w:tab w:val="clear" w:pos="540"/>
        </w:tabs>
        <w:spacing w:after="240"/>
        <w:contextualSpacing/>
      </w:pPr>
      <w:r w:rsidRPr="00973337">
        <w:t>People do not die or face life-changing injuries when using any form of transportation.</w:t>
      </w:r>
    </w:p>
    <w:p w14:paraId="388331FD" w14:textId="77777777" w:rsidR="005D16E3" w:rsidRPr="00973337" w:rsidRDefault="005D16E3" w:rsidP="005D16E3">
      <w:pPr>
        <w:pStyle w:val="ListBullet"/>
        <w:tabs>
          <w:tab w:val="clear" w:pos="540"/>
        </w:tabs>
        <w:spacing w:after="240"/>
        <w:contextualSpacing/>
      </w:pPr>
      <w:r w:rsidRPr="00973337">
        <w:t>People can increase physical activity with more opportunities to walk, roll, or bike.</w:t>
      </w:r>
    </w:p>
    <w:p w14:paraId="1C2191CD" w14:textId="77777777" w:rsidR="005D16E3" w:rsidRPr="00973337" w:rsidRDefault="005D16E3" w:rsidP="005D16E3">
      <w:pPr>
        <w:rPr>
          <w:b/>
          <w:bCs/>
        </w:rPr>
      </w:pPr>
      <w:r w:rsidRPr="00973337">
        <w:rPr>
          <w:b/>
          <w:bCs/>
        </w:rPr>
        <w:t xml:space="preserve">Category Definition: </w:t>
      </w:r>
      <w:r w:rsidRPr="00D76846">
        <w:t>The Regional Bicycle Facilities application category is intended to fund construction of and improvements to the regional bicycle system, and projects must either build out the Regional Bicycle Transportation Network (RBTN), address barriers identified in the Regional Bicycle Barrier Study (RBBS), or construct regional trails identified in the Regional Parks and Trails System Plan.</w:t>
      </w:r>
      <w:r w:rsidRPr="00D76846">
        <w:rPr>
          <w:b/>
          <w:bCs/>
        </w:rPr>
        <w:t xml:space="preserve"> </w:t>
      </w:r>
    </w:p>
    <w:p w14:paraId="4EE3259C" w14:textId="77777777" w:rsidR="005D16E3" w:rsidRDefault="005D16E3" w:rsidP="005D16E3">
      <w:pPr>
        <w:pStyle w:val="Heading1"/>
      </w:pPr>
      <w:r w:rsidRPr="00D068AB">
        <w:t>Scoring</w:t>
      </w:r>
    </w:p>
    <w:tbl>
      <w:tblPr>
        <w:tblStyle w:val="ListTable3-Accent1"/>
        <w:tblW w:w="5000" w:type="pct"/>
        <w:tblLayout w:type="fixed"/>
        <w:tblLook w:val="04A0" w:firstRow="1" w:lastRow="0" w:firstColumn="1" w:lastColumn="0" w:noHBand="0" w:noVBand="1"/>
      </w:tblPr>
      <w:tblGrid>
        <w:gridCol w:w="8724"/>
        <w:gridCol w:w="1346"/>
      </w:tblGrid>
      <w:tr w:rsidR="005D16E3" w:rsidRPr="00D068AB" w14:paraId="6DC482C3" w14:textId="77777777" w:rsidTr="005D16E3">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845" w:type="dxa"/>
            <w:tcBorders>
              <w:bottom w:val="single" w:sz="18" w:space="0" w:color="4F81BD" w:themeColor="accent1"/>
            </w:tcBorders>
            <w:vAlign w:val="bottom"/>
          </w:tcPr>
          <w:p w14:paraId="7B26BE17" w14:textId="77777777" w:rsidR="005D16E3" w:rsidRPr="005D16E3" w:rsidRDefault="005D16E3" w:rsidP="000651D8">
            <w:pPr>
              <w:pStyle w:val="TableHeader"/>
              <w:spacing w:before="120" w:after="0"/>
              <w:rPr>
                <w:rFonts w:ascii="Arial" w:hAnsi="Arial"/>
                <w:b/>
                <w:bCs/>
                <w:color w:val="FFFFFF" w:themeColor="background1"/>
                <w:szCs w:val="22"/>
              </w:rPr>
            </w:pPr>
            <w:r w:rsidRPr="005D16E3">
              <w:rPr>
                <w:rFonts w:ascii="Arial" w:hAnsi="Arial"/>
                <w:b/>
                <w:bCs/>
                <w:color w:val="FFFFFF" w:themeColor="background1"/>
                <w:szCs w:val="22"/>
              </w:rPr>
              <w:t>Criteria and Measures</w:t>
            </w:r>
          </w:p>
        </w:tc>
        <w:tc>
          <w:tcPr>
            <w:tcW w:w="1210" w:type="dxa"/>
            <w:tcBorders>
              <w:bottom w:val="single" w:sz="18" w:space="0" w:color="4F81BD" w:themeColor="accent1"/>
            </w:tcBorders>
            <w:vAlign w:val="bottom"/>
          </w:tcPr>
          <w:p w14:paraId="18577231" w14:textId="77777777" w:rsidR="005D16E3" w:rsidRPr="005D16E3" w:rsidRDefault="005D16E3"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ascii="Arial" w:hAnsi="Arial"/>
                <w:b/>
                <w:bCs/>
                <w:color w:val="FFFFFF" w:themeColor="background1"/>
                <w:szCs w:val="22"/>
              </w:rPr>
            </w:pPr>
            <w:r w:rsidRPr="005D16E3">
              <w:rPr>
                <w:rFonts w:ascii="Arial" w:hAnsi="Arial"/>
                <w:b/>
                <w:bCs/>
                <w:color w:val="FFFFFF" w:themeColor="background1"/>
                <w:szCs w:val="22"/>
              </w:rPr>
              <w:t>%</w:t>
            </w:r>
          </w:p>
        </w:tc>
      </w:tr>
      <w:tr w:rsidR="005D16E3" w14:paraId="45D6223A"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bottom w:val="nil"/>
            </w:tcBorders>
          </w:tcPr>
          <w:p w14:paraId="26D95F30" w14:textId="77777777" w:rsidR="005D16E3" w:rsidRPr="00973337" w:rsidRDefault="005D16E3" w:rsidP="005D16E3">
            <w:pPr>
              <w:pStyle w:val="ListParagraph"/>
              <w:numPr>
                <w:ilvl w:val="0"/>
                <w:numId w:val="20"/>
              </w:numPr>
              <w:spacing w:after="0"/>
            </w:pPr>
            <w:r w:rsidRPr="00973337">
              <w:t>Regional Bicycle Priorities</w:t>
            </w:r>
          </w:p>
        </w:tc>
        <w:tc>
          <w:tcPr>
            <w:tcW w:w="1210" w:type="dxa"/>
            <w:tcBorders>
              <w:top w:val="single" w:sz="18" w:space="0" w:color="4F81BD" w:themeColor="accent1"/>
              <w:bottom w:val="nil"/>
            </w:tcBorders>
          </w:tcPr>
          <w:p w14:paraId="7C258116"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30</w:t>
            </w:r>
          </w:p>
        </w:tc>
      </w:tr>
      <w:tr w:rsidR="005D16E3" w14:paraId="7994CA7F"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tcPr>
          <w:p w14:paraId="42EBE103" w14:textId="77777777" w:rsidR="005D16E3" w:rsidRPr="00973337" w:rsidRDefault="005D16E3" w:rsidP="000651D8">
            <w:pPr>
              <w:spacing w:after="0" w:line="259" w:lineRule="auto"/>
              <w:ind w:left="690"/>
              <w:rPr>
                <w:b w:val="0"/>
                <w:bCs w:val="0"/>
              </w:rPr>
            </w:pPr>
            <w:r w:rsidRPr="00973337">
              <w:rPr>
                <w:b w:val="0"/>
                <w:bCs w:val="0"/>
              </w:rPr>
              <w:t>Measure A – Identified network priorities</w:t>
            </w:r>
          </w:p>
        </w:tc>
        <w:tc>
          <w:tcPr>
            <w:tcW w:w="1210" w:type="dxa"/>
            <w:tcBorders>
              <w:top w:val="nil"/>
              <w:bottom w:val="nil"/>
            </w:tcBorders>
            <w:shd w:val="clear" w:color="auto" w:fill="FFFFFF" w:themeFill="background1"/>
          </w:tcPr>
          <w:p w14:paraId="6E24170A"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color w:val="505150"/>
              </w:rPr>
            </w:pPr>
            <w:r w:rsidRPr="00973337">
              <w:rPr>
                <w:rFonts w:ascii="Arial" w:hAnsi="Arial"/>
                <w:color w:val="505150"/>
                <w:sz w:val="22"/>
                <w:szCs w:val="22"/>
              </w:rPr>
              <w:t>30</w:t>
            </w:r>
          </w:p>
        </w:tc>
      </w:tr>
      <w:tr w:rsidR="005D16E3" w:rsidRPr="00D068AB" w14:paraId="06BBAF58"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bottom w:val="nil"/>
            </w:tcBorders>
          </w:tcPr>
          <w:p w14:paraId="5C2971AE" w14:textId="77777777" w:rsidR="005D16E3" w:rsidRPr="00973337" w:rsidRDefault="005D16E3" w:rsidP="005D16E3">
            <w:pPr>
              <w:pStyle w:val="ListParagraph"/>
              <w:numPr>
                <w:ilvl w:val="0"/>
                <w:numId w:val="20"/>
              </w:numPr>
              <w:spacing w:after="0"/>
            </w:pPr>
            <w:r w:rsidRPr="00973337">
              <w:t>Connection to Key Destinations</w:t>
            </w:r>
          </w:p>
        </w:tc>
        <w:tc>
          <w:tcPr>
            <w:tcW w:w="1210" w:type="dxa"/>
            <w:tcBorders>
              <w:top w:val="single" w:sz="18" w:space="0" w:color="4F81BD" w:themeColor="accent1"/>
              <w:bottom w:val="nil"/>
            </w:tcBorders>
          </w:tcPr>
          <w:p w14:paraId="3CFB10AE"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w:t>
            </w:r>
          </w:p>
        </w:tc>
      </w:tr>
      <w:tr w:rsidR="005D16E3" w:rsidRPr="00D068AB" w14:paraId="35B3BFC0"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tcPr>
          <w:p w14:paraId="6942650F" w14:textId="77777777" w:rsidR="005D16E3" w:rsidRPr="00973337" w:rsidRDefault="005D16E3" w:rsidP="000651D8">
            <w:pPr>
              <w:pStyle w:val="ListParagraph"/>
              <w:spacing w:after="0" w:line="259" w:lineRule="auto"/>
              <w:rPr>
                <w:b w:val="0"/>
                <w:bCs w:val="0"/>
              </w:rPr>
            </w:pPr>
            <w:r w:rsidRPr="00973337">
              <w:rPr>
                <w:b w:val="0"/>
                <w:bCs w:val="0"/>
              </w:rPr>
              <w:t>Measure A – Connection to key destinations</w:t>
            </w:r>
          </w:p>
        </w:tc>
        <w:tc>
          <w:tcPr>
            <w:tcW w:w="1210" w:type="dxa"/>
            <w:tcBorders>
              <w:top w:val="nil"/>
              <w:bottom w:val="nil"/>
            </w:tcBorders>
          </w:tcPr>
          <w:p w14:paraId="332BE317"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10</w:t>
            </w:r>
          </w:p>
        </w:tc>
      </w:tr>
      <w:tr w:rsidR="005D16E3" w:rsidRPr="00D068AB" w14:paraId="75AEB23F" w14:textId="77777777" w:rsidTr="005D16E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bottom w:val="nil"/>
            </w:tcBorders>
          </w:tcPr>
          <w:p w14:paraId="4BCFECC9" w14:textId="77777777" w:rsidR="005D16E3" w:rsidRPr="00973337" w:rsidRDefault="005D16E3" w:rsidP="005D16E3">
            <w:pPr>
              <w:pStyle w:val="ListParagraph"/>
              <w:numPr>
                <w:ilvl w:val="0"/>
                <w:numId w:val="20"/>
              </w:numPr>
              <w:spacing w:after="0"/>
            </w:pPr>
            <w:r w:rsidRPr="00973337">
              <w:t>All Ages &amp; Abilities Design</w:t>
            </w:r>
          </w:p>
        </w:tc>
        <w:tc>
          <w:tcPr>
            <w:tcW w:w="1210" w:type="dxa"/>
            <w:tcBorders>
              <w:top w:val="single" w:sz="18" w:space="0" w:color="4F81BD" w:themeColor="accent1"/>
              <w:bottom w:val="nil"/>
            </w:tcBorders>
          </w:tcPr>
          <w:p w14:paraId="02BBB22A"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5D16E3" w:rsidRPr="00D068AB" w14:paraId="1FABA953"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tcPr>
          <w:p w14:paraId="49F9158C" w14:textId="77777777" w:rsidR="005D16E3" w:rsidRPr="00973337" w:rsidRDefault="005D16E3" w:rsidP="000651D8">
            <w:pPr>
              <w:pStyle w:val="ListParagraph"/>
              <w:spacing w:after="0" w:line="259" w:lineRule="auto"/>
              <w:rPr>
                <w:b w:val="0"/>
                <w:bCs w:val="0"/>
              </w:rPr>
            </w:pPr>
            <w:r w:rsidRPr="00973337">
              <w:rPr>
                <w:b w:val="0"/>
                <w:bCs w:val="0"/>
              </w:rPr>
              <w:t>Measure A – Facility type</w:t>
            </w:r>
          </w:p>
        </w:tc>
        <w:tc>
          <w:tcPr>
            <w:tcW w:w="1210" w:type="dxa"/>
            <w:tcBorders>
              <w:top w:val="nil"/>
              <w:bottom w:val="nil"/>
            </w:tcBorders>
          </w:tcPr>
          <w:p w14:paraId="73BC7399"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10</w:t>
            </w:r>
          </w:p>
        </w:tc>
      </w:tr>
      <w:tr w:rsidR="005D16E3" w:rsidRPr="00D068AB" w14:paraId="6B60B048"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single" w:sz="18" w:space="0" w:color="4F81BD" w:themeColor="accent1"/>
            </w:tcBorders>
          </w:tcPr>
          <w:p w14:paraId="178B88A2" w14:textId="77777777" w:rsidR="005D16E3" w:rsidRPr="00973337" w:rsidRDefault="005D16E3" w:rsidP="000651D8">
            <w:pPr>
              <w:pStyle w:val="ListParagraph"/>
              <w:spacing w:after="0" w:line="259" w:lineRule="auto"/>
              <w:rPr>
                <w:b w:val="0"/>
                <w:bCs w:val="0"/>
              </w:rPr>
            </w:pPr>
            <w:r w:rsidRPr="00973337">
              <w:rPr>
                <w:b w:val="0"/>
                <w:bCs w:val="0"/>
              </w:rPr>
              <w:t>Measure B – Design features and roadway crossings</w:t>
            </w:r>
          </w:p>
        </w:tc>
        <w:tc>
          <w:tcPr>
            <w:tcW w:w="1210" w:type="dxa"/>
            <w:tcBorders>
              <w:top w:val="nil"/>
              <w:bottom w:val="single" w:sz="18" w:space="0" w:color="4F81BD" w:themeColor="accent1"/>
            </w:tcBorders>
          </w:tcPr>
          <w:p w14:paraId="5F055A29"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10</w:t>
            </w:r>
          </w:p>
        </w:tc>
      </w:tr>
      <w:tr w:rsidR="005D16E3" w:rsidRPr="00D068AB" w14:paraId="604DAE21"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bottom w:val="nil"/>
            </w:tcBorders>
          </w:tcPr>
          <w:p w14:paraId="7757AEBE" w14:textId="77777777" w:rsidR="005D16E3" w:rsidRPr="00973337" w:rsidRDefault="005D16E3" w:rsidP="005D16E3">
            <w:pPr>
              <w:pStyle w:val="ListParagraph"/>
              <w:numPr>
                <w:ilvl w:val="0"/>
                <w:numId w:val="20"/>
              </w:numPr>
              <w:spacing w:after="0"/>
            </w:pPr>
            <w:r w:rsidRPr="00973337">
              <w:t>Safety</w:t>
            </w:r>
          </w:p>
        </w:tc>
        <w:tc>
          <w:tcPr>
            <w:tcW w:w="1210" w:type="dxa"/>
            <w:tcBorders>
              <w:top w:val="single" w:sz="18" w:space="0" w:color="4F81BD" w:themeColor="accent1"/>
              <w:bottom w:val="nil"/>
            </w:tcBorders>
          </w:tcPr>
          <w:p w14:paraId="79D7A123"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5D16E3" w:rsidRPr="00D068AB" w14:paraId="689F43C5"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tcPr>
          <w:p w14:paraId="1F1E0FEB" w14:textId="77777777" w:rsidR="005D16E3" w:rsidRPr="00973337" w:rsidRDefault="005D16E3" w:rsidP="000651D8">
            <w:pPr>
              <w:pStyle w:val="ListParagraph"/>
              <w:spacing w:after="0"/>
              <w:rPr>
                <w:b w:val="0"/>
                <w:bCs w:val="0"/>
              </w:rPr>
            </w:pPr>
            <w:r w:rsidRPr="00973337">
              <w:rPr>
                <w:b w:val="0"/>
                <w:bCs w:val="0"/>
              </w:rPr>
              <w:t>Measure A – Connection to existing safety planning efforts</w:t>
            </w:r>
          </w:p>
        </w:tc>
        <w:tc>
          <w:tcPr>
            <w:tcW w:w="1210" w:type="dxa"/>
            <w:tcBorders>
              <w:top w:val="nil"/>
              <w:bottom w:val="nil"/>
            </w:tcBorders>
          </w:tcPr>
          <w:p w14:paraId="5F555B5F"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5</w:t>
            </w:r>
          </w:p>
        </w:tc>
      </w:tr>
      <w:tr w:rsidR="005D16E3" w:rsidRPr="00D068AB" w14:paraId="72AC78AE"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single" w:sz="18" w:space="0" w:color="4F81BD" w:themeColor="accent1"/>
            </w:tcBorders>
          </w:tcPr>
          <w:p w14:paraId="40F7CADC" w14:textId="77777777" w:rsidR="005D16E3" w:rsidRPr="00973337" w:rsidRDefault="005D16E3" w:rsidP="000651D8">
            <w:pPr>
              <w:pStyle w:val="ListParagraph"/>
              <w:spacing w:after="0"/>
            </w:pPr>
            <w:r w:rsidRPr="00973337">
              <w:rPr>
                <w:b w:val="0"/>
                <w:bCs w:val="0"/>
              </w:rPr>
              <w:t>Measure B – Safety improvements for people outside of vehicles</w:t>
            </w:r>
          </w:p>
        </w:tc>
        <w:tc>
          <w:tcPr>
            <w:tcW w:w="1210" w:type="dxa"/>
            <w:tcBorders>
              <w:top w:val="nil"/>
              <w:bottom w:val="single" w:sz="18" w:space="0" w:color="4F81BD" w:themeColor="accent1"/>
            </w:tcBorders>
          </w:tcPr>
          <w:p w14:paraId="7D2E4225"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15</w:t>
            </w:r>
          </w:p>
        </w:tc>
      </w:tr>
      <w:tr w:rsidR="005D16E3" w:rsidRPr="00D068AB" w14:paraId="60F14065"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bottom w:val="nil"/>
            </w:tcBorders>
          </w:tcPr>
          <w:p w14:paraId="5D9E9323" w14:textId="77777777" w:rsidR="005D16E3" w:rsidRPr="00973337" w:rsidRDefault="005D16E3" w:rsidP="005D16E3">
            <w:pPr>
              <w:pStyle w:val="ListParagraph"/>
              <w:numPr>
                <w:ilvl w:val="0"/>
                <w:numId w:val="20"/>
              </w:numPr>
              <w:spacing w:after="0"/>
            </w:pPr>
            <w:r w:rsidRPr="00973337">
              <w:t>Community Considerations</w:t>
            </w:r>
          </w:p>
        </w:tc>
        <w:tc>
          <w:tcPr>
            <w:tcW w:w="1210" w:type="dxa"/>
            <w:tcBorders>
              <w:top w:val="single" w:sz="18" w:space="0" w:color="4F81BD" w:themeColor="accent1"/>
              <w:bottom w:val="nil"/>
            </w:tcBorders>
          </w:tcPr>
          <w:p w14:paraId="277F7D28"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5D16E3" w:rsidRPr="00D068AB" w14:paraId="6062A7D1"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vAlign w:val="center"/>
          </w:tcPr>
          <w:p w14:paraId="22404CDE" w14:textId="77777777" w:rsidR="005D16E3" w:rsidRPr="00973337" w:rsidRDefault="005D16E3" w:rsidP="000651D8">
            <w:pPr>
              <w:pStyle w:val="ListParagraph"/>
              <w:spacing w:after="0"/>
              <w:rPr>
                <w:b w:val="0"/>
                <w:bCs w:val="0"/>
              </w:rPr>
            </w:pPr>
            <w:r w:rsidRPr="00973337">
              <w:rPr>
                <w:b w:val="0"/>
                <w:bCs w:val="0"/>
              </w:rPr>
              <w:t>Measure A – Community data and context</w:t>
            </w:r>
          </w:p>
        </w:tc>
        <w:tc>
          <w:tcPr>
            <w:tcW w:w="1210" w:type="dxa"/>
            <w:tcBorders>
              <w:top w:val="nil"/>
              <w:bottom w:val="nil"/>
            </w:tcBorders>
            <w:vAlign w:val="center"/>
          </w:tcPr>
          <w:p w14:paraId="17D1A2E3"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5D16E3" w:rsidRPr="00D068AB" w14:paraId="12CCD885"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bottom w:val="nil"/>
            </w:tcBorders>
            <w:vAlign w:val="center"/>
          </w:tcPr>
          <w:p w14:paraId="43CCF676" w14:textId="77777777" w:rsidR="005D16E3" w:rsidRPr="00973337" w:rsidRDefault="005D16E3" w:rsidP="000651D8">
            <w:pPr>
              <w:pStyle w:val="ListParagraph"/>
              <w:spacing w:after="0"/>
              <w:rPr>
                <w:b w:val="0"/>
                <w:bCs w:val="0"/>
              </w:rPr>
            </w:pPr>
            <w:r w:rsidRPr="00973337">
              <w:rPr>
                <w:b w:val="0"/>
                <w:bCs w:val="0"/>
              </w:rPr>
              <w:t>Measure B – Community need and future engagement</w:t>
            </w:r>
          </w:p>
        </w:tc>
        <w:tc>
          <w:tcPr>
            <w:tcW w:w="1210" w:type="dxa"/>
            <w:tcBorders>
              <w:top w:val="nil"/>
              <w:bottom w:val="nil"/>
            </w:tcBorders>
            <w:vAlign w:val="center"/>
          </w:tcPr>
          <w:p w14:paraId="2917D82C"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5D16E3" w:rsidRPr="00D068AB" w14:paraId="6DE745E1" w14:textId="77777777" w:rsidTr="005D16E3">
        <w:trPr>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nil"/>
            </w:tcBorders>
            <w:vAlign w:val="center"/>
          </w:tcPr>
          <w:p w14:paraId="579B1333" w14:textId="77777777" w:rsidR="005D16E3" w:rsidRPr="00973337" w:rsidRDefault="005D16E3" w:rsidP="000651D8">
            <w:pPr>
              <w:pStyle w:val="ListParagraph"/>
              <w:spacing w:after="0"/>
              <w:rPr>
                <w:b w:val="0"/>
                <w:bCs w:val="0"/>
              </w:rPr>
            </w:pPr>
            <w:r w:rsidRPr="00973337">
              <w:rPr>
                <w:b w:val="0"/>
                <w:bCs w:val="0"/>
              </w:rPr>
              <w:t>Measure C – Community benefits</w:t>
            </w:r>
          </w:p>
        </w:tc>
        <w:tc>
          <w:tcPr>
            <w:tcW w:w="1210" w:type="dxa"/>
            <w:tcBorders>
              <w:top w:val="nil"/>
            </w:tcBorders>
            <w:vAlign w:val="center"/>
          </w:tcPr>
          <w:p w14:paraId="733C5DCC" w14:textId="77777777" w:rsidR="005D16E3" w:rsidRPr="00973337" w:rsidRDefault="005D16E3"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5D16E3" w:rsidRPr="00D068AB" w14:paraId="7D0033EE" w14:textId="77777777" w:rsidTr="005D16E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845" w:type="dxa"/>
            <w:tcBorders>
              <w:top w:val="single" w:sz="18" w:space="0" w:color="4F81BD" w:themeColor="accent1"/>
            </w:tcBorders>
          </w:tcPr>
          <w:p w14:paraId="5C70C2CC" w14:textId="77777777" w:rsidR="005D16E3" w:rsidRPr="00973337" w:rsidRDefault="005D16E3" w:rsidP="000651D8">
            <w:pPr>
              <w:spacing w:after="0"/>
            </w:pPr>
            <w:r w:rsidRPr="00973337">
              <w:t>Total</w:t>
            </w:r>
          </w:p>
        </w:tc>
        <w:tc>
          <w:tcPr>
            <w:tcW w:w="1210" w:type="dxa"/>
            <w:tcBorders>
              <w:top w:val="single" w:sz="18" w:space="0" w:color="4F81BD" w:themeColor="accent1"/>
            </w:tcBorders>
          </w:tcPr>
          <w:p w14:paraId="6CEDE1E6" w14:textId="77777777" w:rsidR="005D16E3" w:rsidRPr="00973337" w:rsidRDefault="005D16E3"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100</w:t>
            </w:r>
          </w:p>
        </w:tc>
      </w:tr>
    </w:tbl>
    <w:p w14:paraId="0BA8A67A" w14:textId="77777777" w:rsidR="005D16E3" w:rsidRDefault="005D16E3" w:rsidP="005D16E3">
      <w:pPr>
        <w:spacing w:after="0"/>
      </w:pPr>
      <w:r>
        <w:br w:type="page"/>
      </w:r>
    </w:p>
    <w:p w14:paraId="60074107" w14:textId="77777777" w:rsidR="005D16E3" w:rsidRDefault="005D16E3" w:rsidP="005D16E3">
      <w:pPr>
        <w:pStyle w:val="Heading1"/>
      </w:pPr>
      <w:r w:rsidRPr="006A10F5">
        <w:lastRenderedPageBreak/>
        <w:t>Examples of Eligible Projects</w:t>
      </w:r>
    </w:p>
    <w:p w14:paraId="115697EA" w14:textId="77777777" w:rsidR="005D16E3" w:rsidRPr="00973337" w:rsidRDefault="005D16E3" w:rsidP="005D16E3">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p w14:paraId="420EB4D7" w14:textId="77777777" w:rsidR="005D16E3" w:rsidRPr="00973337" w:rsidRDefault="005D16E3" w:rsidP="005D16E3">
      <w:pPr>
        <w:pStyle w:val="ListBullet"/>
        <w:tabs>
          <w:tab w:val="clear" w:pos="540"/>
        </w:tabs>
        <w:spacing w:after="240"/>
        <w:contextualSpacing/>
      </w:pPr>
      <w:r w:rsidRPr="00973337">
        <w:t>Multiuse trails</w:t>
      </w:r>
    </w:p>
    <w:p w14:paraId="493C64DC" w14:textId="77777777" w:rsidR="005D16E3" w:rsidRPr="00973337" w:rsidRDefault="005D16E3" w:rsidP="005D16E3">
      <w:pPr>
        <w:pStyle w:val="ListBullet"/>
        <w:tabs>
          <w:tab w:val="clear" w:pos="540"/>
        </w:tabs>
        <w:spacing w:after="240"/>
        <w:contextualSpacing/>
      </w:pPr>
      <w:r w:rsidRPr="00973337">
        <w:t>Bicycle or multiuse trail facility bridges or underpasses</w:t>
      </w:r>
    </w:p>
    <w:p w14:paraId="2CF63413" w14:textId="77777777" w:rsidR="005D16E3" w:rsidRPr="00973337" w:rsidRDefault="005D16E3" w:rsidP="005D16E3">
      <w:pPr>
        <w:pStyle w:val="ListBullet"/>
        <w:tabs>
          <w:tab w:val="clear" w:pos="540"/>
        </w:tabs>
        <w:spacing w:after="240"/>
        <w:contextualSpacing/>
      </w:pPr>
      <w:r w:rsidRPr="00973337">
        <w:t>Dedicated on- or off-street bicycle facilities, including separated or protected bikeways</w:t>
      </w:r>
    </w:p>
    <w:p w14:paraId="7C3882CF" w14:textId="77777777" w:rsidR="005D16E3" w:rsidRPr="00973337" w:rsidRDefault="005D16E3" w:rsidP="005D16E3">
      <w:pPr>
        <w:pStyle w:val="ListBullet"/>
        <w:tabs>
          <w:tab w:val="clear" w:pos="540"/>
        </w:tabs>
        <w:spacing w:after="240"/>
        <w:contextualSpacing/>
      </w:pPr>
      <w:r w:rsidRPr="00973337">
        <w:t>Filling multiple gaps, improving multiple crossings, or making other similar improvements along a trail corridor</w:t>
      </w:r>
    </w:p>
    <w:p w14:paraId="4C5A2671" w14:textId="168073A5" w:rsidR="005D16E3" w:rsidRDefault="005D16E3">
      <w:pPr>
        <w:spacing w:after="0"/>
      </w:pPr>
      <w:r>
        <w:br w:type="page"/>
      </w:r>
    </w:p>
    <w:p w14:paraId="6E253F78" w14:textId="77777777" w:rsidR="00404DD3" w:rsidRPr="00424285" w:rsidRDefault="00404DD3" w:rsidP="00404DD3">
      <w:pPr>
        <w:pStyle w:val="ReportTitle"/>
      </w:pPr>
      <w:r>
        <w:lastRenderedPageBreak/>
        <w:t>Local bicycle facilities</w:t>
      </w:r>
    </w:p>
    <w:p w14:paraId="2600DBB0" w14:textId="77777777" w:rsidR="00404DD3" w:rsidRPr="0056591B" w:rsidRDefault="00404DD3" w:rsidP="00404DD3">
      <w:pPr>
        <w:pStyle w:val="Heading1"/>
      </w:pPr>
      <w:r w:rsidRPr="0056591B">
        <w:t>Prioritizing Criteria and Measures</w:t>
      </w:r>
    </w:p>
    <w:p w14:paraId="61F7CCB7" w14:textId="0FEF4C3E" w:rsidR="00404DD3" w:rsidRPr="00973337" w:rsidRDefault="00404DD3" w:rsidP="00404DD3">
      <w:pPr>
        <w:rPr>
          <w:b/>
          <w:bCs/>
        </w:rPr>
      </w:pPr>
      <w:bookmarkStart w:id="4" w:name="_Hlk218689085"/>
      <w:r w:rsidRPr="00973337">
        <w:rPr>
          <w:b/>
          <w:bCs/>
        </w:rPr>
        <w:t xml:space="preserve">2050 TPP Goal: </w:t>
      </w:r>
      <w:r w:rsidRPr="00973337">
        <w:t xml:space="preserve">Our </w:t>
      </w:r>
      <w:r w:rsidR="007D77D7">
        <w:t>r</w:t>
      </w:r>
      <w:r w:rsidRPr="00973337">
        <w:t xml:space="preserve">egion is </w:t>
      </w:r>
      <w:r w:rsidR="007D77D7">
        <w:t>d</w:t>
      </w:r>
      <w:r w:rsidRPr="00973337">
        <w:t xml:space="preserve">ynamic and </w:t>
      </w:r>
      <w:r w:rsidR="007D77D7">
        <w:t>r</w:t>
      </w:r>
      <w:r w:rsidRPr="00973337">
        <w:t>esilient</w:t>
      </w:r>
    </w:p>
    <w:p w14:paraId="7A757EB7" w14:textId="77777777" w:rsidR="00404DD3" w:rsidRPr="00973337" w:rsidRDefault="00404DD3" w:rsidP="00404DD3">
      <w:pPr>
        <w:pStyle w:val="ListBullet"/>
        <w:numPr>
          <w:ilvl w:val="0"/>
          <w:numId w:val="0"/>
        </w:numPr>
        <w:rPr>
          <w:rFonts w:eastAsia="Arial" w:cs="Arial"/>
        </w:rPr>
      </w:pPr>
      <w:r w:rsidRPr="00973337">
        <w:rPr>
          <w:rFonts w:eastAsia="Arial" w:cs="Arial"/>
          <w:b/>
          <w:bCs/>
        </w:rPr>
        <w:t xml:space="preserve">2050 TPP Objectives or Policies: </w:t>
      </w:r>
    </w:p>
    <w:p w14:paraId="088B2473" w14:textId="77777777" w:rsidR="00404DD3" w:rsidRPr="00973337" w:rsidRDefault="00404DD3" w:rsidP="00404DD3">
      <w:pPr>
        <w:pStyle w:val="ListBullet"/>
        <w:numPr>
          <w:ilvl w:val="0"/>
          <w:numId w:val="24"/>
        </w:numPr>
        <w:spacing w:after="240"/>
        <w:ind w:left="720"/>
        <w:contextualSpacing/>
        <w:rPr>
          <w:rFonts w:eastAsia="Arial"/>
        </w:rPr>
      </w:pPr>
      <w:r w:rsidRPr="00973337">
        <w:rPr>
          <w:rFonts w:eastAsia="Arial"/>
        </w:rPr>
        <w:t xml:space="preserve">People have better travel options </w:t>
      </w:r>
      <w:proofErr w:type="gramStart"/>
      <w:r w:rsidRPr="00973337">
        <w:rPr>
          <w:rFonts w:eastAsia="Arial"/>
        </w:rPr>
        <w:t>beyond</w:t>
      </w:r>
      <w:proofErr w:type="gramEnd"/>
      <w:r w:rsidRPr="00973337">
        <w:rPr>
          <w:rFonts w:eastAsia="Arial"/>
        </w:rPr>
        <w:t xml:space="preserve"> driving alone to meet their daily needs, with a focus on improving travel times, reliability, directness, and affordability.</w:t>
      </w:r>
    </w:p>
    <w:p w14:paraId="5D020DE4" w14:textId="77777777" w:rsidR="00404DD3" w:rsidRPr="00973337" w:rsidRDefault="00404DD3" w:rsidP="00404DD3">
      <w:pPr>
        <w:pStyle w:val="ListBullet"/>
        <w:numPr>
          <w:ilvl w:val="0"/>
          <w:numId w:val="24"/>
        </w:numPr>
        <w:spacing w:after="240"/>
        <w:ind w:left="720"/>
        <w:contextualSpacing/>
        <w:rPr>
          <w:rFonts w:eastAsia="Arial"/>
        </w:rPr>
      </w:pPr>
      <w:r w:rsidRPr="00973337">
        <w:rPr>
          <w:rFonts w:eastAsia="Arial"/>
        </w:rPr>
        <w:t>People do not die or face life-changing injuries when using any form of transportation.</w:t>
      </w:r>
    </w:p>
    <w:p w14:paraId="32DBD3EC" w14:textId="77777777" w:rsidR="00404DD3" w:rsidRPr="00973337" w:rsidRDefault="00404DD3" w:rsidP="00404DD3">
      <w:pPr>
        <w:pStyle w:val="ListBullet"/>
        <w:numPr>
          <w:ilvl w:val="0"/>
          <w:numId w:val="24"/>
        </w:numPr>
        <w:spacing w:after="240"/>
        <w:ind w:left="720"/>
        <w:contextualSpacing/>
        <w:rPr>
          <w:rFonts w:eastAsia="Arial"/>
        </w:rPr>
      </w:pPr>
      <w:r w:rsidRPr="00973337">
        <w:rPr>
          <w:rFonts w:eastAsia="Arial"/>
        </w:rPr>
        <w:t>People can increase physical activity with more opportunities to walk, roll, or bike.</w:t>
      </w:r>
    </w:p>
    <w:p w14:paraId="365DD462" w14:textId="1AE725D3" w:rsidR="00404DD3" w:rsidRPr="007D77D7" w:rsidRDefault="00404DD3" w:rsidP="00404DD3">
      <w:pPr>
        <w:rPr>
          <w:i/>
          <w:iCs/>
        </w:rPr>
      </w:pPr>
      <w:r w:rsidRPr="00973337">
        <w:rPr>
          <w:b/>
          <w:bCs/>
        </w:rPr>
        <w:t xml:space="preserve">Category Definition: </w:t>
      </w:r>
      <w:r w:rsidRPr="00973337">
        <w:t xml:space="preserve">The Local Bicycle Facilities application category is intended to fund construction of and improvements to bicycle facilities that are identified in a local or regional plan. Projects may be identified as Regional Bicycle Transportation Network alignments or Regional Trails or may be local in nature. </w:t>
      </w:r>
      <w:r w:rsidR="007D77D7">
        <w:rPr>
          <w:i/>
          <w:iCs/>
        </w:rPr>
        <w:t>This category is funded with regional active transportation sales tax funding.</w:t>
      </w:r>
    </w:p>
    <w:bookmarkEnd w:id="4"/>
    <w:p w14:paraId="21433FE9" w14:textId="77777777" w:rsidR="00404DD3" w:rsidRDefault="00404DD3" w:rsidP="00404DD3">
      <w:pPr>
        <w:pStyle w:val="Heading1"/>
      </w:pPr>
      <w:r w:rsidRPr="00FA6F32">
        <w:t>Scoring</w:t>
      </w:r>
    </w:p>
    <w:tbl>
      <w:tblPr>
        <w:tblStyle w:val="ListTable3-Accent1"/>
        <w:tblW w:w="5000" w:type="pct"/>
        <w:tblLayout w:type="fixed"/>
        <w:tblLook w:val="04A0" w:firstRow="1" w:lastRow="0" w:firstColumn="1" w:lastColumn="0" w:noHBand="0" w:noVBand="1"/>
      </w:tblPr>
      <w:tblGrid>
        <w:gridCol w:w="8735"/>
        <w:gridCol w:w="1335"/>
      </w:tblGrid>
      <w:tr w:rsidR="00404DD3" w:rsidRPr="00404DD3" w14:paraId="70B01699" w14:textId="77777777" w:rsidTr="00404DD3">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8735" w:type="dxa"/>
            <w:tcBorders>
              <w:bottom w:val="single" w:sz="18" w:space="0" w:color="4F81BD" w:themeColor="accent1"/>
            </w:tcBorders>
            <w:vAlign w:val="bottom"/>
          </w:tcPr>
          <w:p w14:paraId="33E6A4FF" w14:textId="77777777" w:rsidR="00404DD3" w:rsidRPr="00404DD3" w:rsidRDefault="00404DD3" w:rsidP="00404DD3">
            <w:pPr>
              <w:spacing w:before="120" w:after="0"/>
              <w:rPr>
                <w:rFonts w:ascii="Arial Nova" w:hAnsi="Arial Nova" w:cs="Arial"/>
                <w:color w:val="FFFFFF" w:themeColor="background1"/>
                <w:szCs w:val="32"/>
              </w:rPr>
            </w:pPr>
            <w:bookmarkStart w:id="5" w:name="_Hlk211888431"/>
            <w:r w:rsidRPr="00404DD3">
              <w:rPr>
                <w:rFonts w:ascii="Arial Nova" w:hAnsi="Arial Nova" w:cs="Arial"/>
                <w:color w:val="FFFFFF" w:themeColor="background1"/>
                <w:szCs w:val="32"/>
              </w:rPr>
              <w:t>Criteria and Measures</w:t>
            </w:r>
          </w:p>
        </w:tc>
        <w:tc>
          <w:tcPr>
            <w:tcW w:w="1335" w:type="dxa"/>
            <w:tcBorders>
              <w:bottom w:val="single" w:sz="18" w:space="0" w:color="4F81BD" w:themeColor="accent1"/>
            </w:tcBorders>
            <w:vAlign w:val="bottom"/>
          </w:tcPr>
          <w:p w14:paraId="32548CF3" w14:textId="77777777" w:rsidR="00404DD3" w:rsidRPr="00404DD3" w:rsidRDefault="00404DD3" w:rsidP="00404DD3">
            <w:pPr>
              <w:spacing w:before="120" w:after="0"/>
              <w:jc w:val="center"/>
              <w:cnfStyle w:val="100000000000" w:firstRow="1" w:lastRow="0" w:firstColumn="0" w:lastColumn="0" w:oddVBand="0" w:evenVBand="0" w:oddHBand="0" w:evenHBand="0" w:firstRowFirstColumn="0" w:firstRowLastColumn="0" w:lastRowFirstColumn="0" w:lastRowLastColumn="0"/>
              <w:rPr>
                <w:rFonts w:ascii="Arial Nova" w:hAnsi="Arial Nova" w:cs="Arial"/>
                <w:color w:val="FFFFFF" w:themeColor="background1"/>
                <w:szCs w:val="32"/>
              </w:rPr>
            </w:pPr>
            <w:r w:rsidRPr="00404DD3">
              <w:rPr>
                <w:rFonts w:ascii="Arial Nova" w:hAnsi="Arial Nova" w:cs="Arial"/>
                <w:color w:val="FFFFFF" w:themeColor="background1"/>
                <w:szCs w:val="32"/>
              </w:rPr>
              <w:t>%</w:t>
            </w:r>
          </w:p>
        </w:tc>
      </w:tr>
      <w:tr w:rsidR="00404DD3" w:rsidRPr="00404DD3" w14:paraId="6096624E" w14:textId="77777777" w:rsidTr="00404D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2E5FE0FF" w14:textId="77777777" w:rsidR="00404DD3" w:rsidRPr="00404DD3" w:rsidRDefault="00404DD3" w:rsidP="00404DD3">
            <w:pPr>
              <w:numPr>
                <w:ilvl w:val="0"/>
                <w:numId w:val="22"/>
              </w:numPr>
              <w:spacing w:after="0"/>
              <w:contextualSpacing/>
            </w:pPr>
            <w:r w:rsidRPr="00404DD3">
              <w:t>Complete Streets</w:t>
            </w:r>
          </w:p>
        </w:tc>
        <w:tc>
          <w:tcPr>
            <w:tcW w:w="1335" w:type="dxa"/>
            <w:tcBorders>
              <w:top w:val="single" w:sz="18" w:space="0" w:color="4F81BD" w:themeColor="accent1"/>
              <w:bottom w:val="nil"/>
            </w:tcBorders>
          </w:tcPr>
          <w:p w14:paraId="2F476264"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5</w:t>
            </w:r>
          </w:p>
        </w:tc>
      </w:tr>
      <w:tr w:rsidR="00404DD3" w:rsidRPr="00404DD3" w14:paraId="560A0EED"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04462B39" w14:textId="77777777" w:rsidR="00404DD3" w:rsidRPr="00ED5DF6" w:rsidRDefault="00404DD3" w:rsidP="00404DD3">
            <w:pPr>
              <w:spacing w:after="0"/>
              <w:ind w:left="720"/>
              <w:contextualSpacing/>
              <w:rPr>
                <w:b w:val="0"/>
                <w:bCs w:val="0"/>
              </w:rPr>
            </w:pPr>
            <w:r w:rsidRPr="00ED5DF6">
              <w:rPr>
                <w:b w:val="0"/>
                <w:bCs w:val="0"/>
              </w:rPr>
              <w:t>Measure A – Complete streets planning, design, and construction</w:t>
            </w:r>
          </w:p>
        </w:tc>
        <w:tc>
          <w:tcPr>
            <w:tcW w:w="1335" w:type="dxa"/>
            <w:tcBorders>
              <w:top w:val="nil"/>
              <w:bottom w:val="single" w:sz="18" w:space="0" w:color="4F81BD" w:themeColor="accent1"/>
            </w:tcBorders>
          </w:tcPr>
          <w:p w14:paraId="12F4D7DE"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6DFF0FDE"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5AEB8B8A" w14:textId="77777777" w:rsidR="00404DD3" w:rsidRPr="00404DD3" w:rsidRDefault="00404DD3" w:rsidP="00404DD3">
            <w:pPr>
              <w:numPr>
                <w:ilvl w:val="0"/>
                <w:numId w:val="22"/>
              </w:numPr>
              <w:spacing w:after="0"/>
              <w:contextualSpacing/>
            </w:pPr>
            <w:r w:rsidRPr="00404DD3">
              <w:t>Connection to Key Destinations</w:t>
            </w:r>
          </w:p>
        </w:tc>
        <w:tc>
          <w:tcPr>
            <w:tcW w:w="1335" w:type="dxa"/>
            <w:tcBorders>
              <w:top w:val="single" w:sz="18" w:space="0" w:color="4F81BD" w:themeColor="accent1"/>
              <w:bottom w:val="nil"/>
            </w:tcBorders>
          </w:tcPr>
          <w:p w14:paraId="19550720"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30</w:t>
            </w:r>
          </w:p>
        </w:tc>
      </w:tr>
      <w:tr w:rsidR="00404DD3" w:rsidRPr="00404DD3" w14:paraId="4571BDAB"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6D10AF28" w14:textId="77777777" w:rsidR="00404DD3" w:rsidRPr="00ED5DF6" w:rsidRDefault="00404DD3" w:rsidP="00404DD3">
            <w:pPr>
              <w:spacing w:after="0"/>
              <w:ind w:left="720"/>
              <w:contextualSpacing/>
              <w:rPr>
                <w:b w:val="0"/>
                <w:bCs w:val="0"/>
              </w:rPr>
            </w:pPr>
            <w:r w:rsidRPr="00ED5DF6">
              <w:rPr>
                <w:b w:val="0"/>
                <w:bCs w:val="0"/>
              </w:rPr>
              <w:t>Measure A – Connection to key destinations</w:t>
            </w:r>
          </w:p>
        </w:tc>
        <w:tc>
          <w:tcPr>
            <w:tcW w:w="1335" w:type="dxa"/>
            <w:tcBorders>
              <w:top w:val="nil"/>
              <w:bottom w:val="nil"/>
            </w:tcBorders>
          </w:tcPr>
          <w:p w14:paraId="341C86F2"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20</w:t>
            </w:r>
          </w:p>
        </w:tc>
      </w:tr>
      <w:tr w:rsidR="00404DD3" w:rsidRPr="00404DD3" w14:paraId="289D1840"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37861519" w14:textId="77777777" w:rsidR="00404DD3" w:rsidRPr="00ED5DF6" w:rsidRDefault="00404DD3" w:rsidP="00404DD3">
            <w:pPr>
              <w:spacing w:after="0"/>
              <w:ind w:left="720"/>
              <w:contextualSpacing/>
              <w:rPr>
                <w:b w:val="0"/>
                <w:bCs w:val="0"/>
              </w:rPr>
            </w:pPr>
            <w:r w:rsidRPr="00ED5DF6">
              <w:rPr>
                <w:b w:val="0"/>
                <w:bCs w:val="0"/>
              </w:rPr>
              <w:t>Measure B – Connection to K-12 Schools</w:t>
            </w:r>
          </w:p>
        </w:tc>
        <w:tc>
          <w:tcPr>
            <w:tcW w:w="1335" w:type="dxa"/>
            <w:tcBorders>
              <w:top w:val="nil"/>
              <w:bottom w:val="nil"/>
            </w:tcBorders>
          </w:tcPr>
          <w:p w14:paraId="2DE440F7"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2D84A10F"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2DB824E5" w14:textId="77777777" w:rsidR="00404DD3" w:rsidRPr="00ED5DF6" w:rsidRDefault="00404DD3" w:rsidP="00404DD3">
            <w:pPr>
              <w:spacing w:after="0"/>
              <w:ind w:left="720"/>
              <w:contextualSpacing/>
              <w:rPr>
                <w:b w:val="0"/>
                <w:bCs w:val="0"/>
              </w:rPr>
            </w:pPr>
            <w:r w:rsidRPr="00ED5DF6">
              <w:rPr>
                <w:b w:val="0"/>
                <w:bCs w:val="0"/>
              </w:rPr>
              <w:t>Measure C – Active transportation demand</w:t>
            </w:r>
          </w:p>
        </w:tc>
        <w:tc>
          <w:tcPr>
            <w:tcW w:w="1335" w:type="dxa"/>
            <w:tcBorders>
              <w:top w:val="nil"/>
              <w:bottom w:val="single" w:sz="18" w:space="0" w:color="4F81BD" w:themeColor="accent1"/>
            </w:tcBorders>
          </w:tcPr>
          <w:p w14:paraId="0C6C3046"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5D4A4089"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542375B2" w14:textId="77777777" w:rsidR="00404DD3" w:rsidRPr="00404DD3" w:rsidRDefault="00404DD3" w:rsidP="00404DD3">
            <w:pPr>
              <w:numPr>
                <w:ilvl w:val="0"/>
                <w:numId w:val="22"/>
              </w:numPr>
              <w:spacing w:after="0"/>
              <w:contextualSpacing/>
            </w:pPr>
            <w:r w:rsidRPr="00404DD3">
              <w:t>Identified Gaps, Barriers, or Deficiencies</w:t>
            </w:r>
          </w:p>
        </w:tc>
        <w:tc>
          <w:tcPr>
            <w:tcW w:w="1335" w:type="dxa"/>
            <w:tcBorders>
              <w:top w:val="single" w:sz="18" w:space="0" w:color="4F81BD" w:themeColor="accent1"/>
              <w:bottom w:val="nil"/>
            </w:tcBorders>
          </w:tcPr>
          <w:p w14:paraId="6F66FECF"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25</w:t>
            </w:r>
          </w:p>
        </w:tc>
      </w:tr>
      <w:tr w:rsidR="00404DD3" w:rsidRPr="00404DD3" w14:paraId="2BC192FE"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049AB2FF" w14:textId="77777777" w:rsidR="00404DD3" w:rsidRPr="00ED5DF6" w:rsidRDefault="00404DD3" w:rsidP="00404DD3">
            <w:pPr>
              <w:spacing w:after="0"/>
              <w:ind w:left="720"/>
              <w:contextualSpacing/>
              <w:rPr>
                <w:b w:val="0"/>
                <w:bCs w:val="0"/>
              </w:rPr>
            </w:pPr>
            <w:r w:rsidRPr="00ED5DF6">
              <w:rPr>
                <w:b w:val="0"/>
                <w:bCs w:val="0"/>
              </w:rPr>
              <w:t>Measure A – Gaps, barriers, or deficiencies addressed</w:t>
            </w:r>
          </w:p>
        </w:tc>
        <w:tc>
          <w:tcPr>
            <w:tcW w:w="1335" w:type="dxa"/>
            <w:tcBorders>
              <w:top w:val="nil"/>
              <w:bottom w:val="single" w:sz="18" w:space="0" w:color="4F81BD" w:themeColor="accent1"/>
            </w:tcBorders>
          </w:tcPr>
          <w:p w14:paraId="3DD19157"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25</w:t>
            </w:r>
          </w:p>
        </w:tc>
      </w:tr>
      <w:tr w:rsidR="00404DD3" w:rsidRPr="00404DD3" w14:paraId="3FE6C4B9"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3C30F2B0" w14:textId="77777777" w:rsidR="00404DD3" w:rsidRPr="00404DD3" w:rsidRDefault="00404DD3" w:rsidP="00404DD3">
            <w:pPr>
              <w:numPr>
                <w:ilvl w:val="0"/>
                <w:numId w:val="22"/>
              </w:numPr>
              <w:spacing w:after="0"/>
              <w:contextualSpacing/>
            </w:pPr>
            <w:r w:rsidRPr="00404DD3">
              <w:t>Safety</w:t>
            </w:r>
          </w:p>
        </w:tc>
        <w:tc>
          <w:tcPr>
            <w:tcW w:w="1335" w:type="dxa"/>
            <w:tcBorders>
              <w:top w:val="single" w:sz="18" w:space="0" w:color="4F81BD" w:themeColor="accent1"/>
              <w:bottom w:val="nil"/>
            </w:tcBorders>
          </w:tcPr>
          <w:p w14:paraId="3CDB30AA"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20</w:t>
            </w:r>
          </w:p>
        </w:tc>
      </w:tr>
      <w:tr w:rsidR="00404DD3" w:rsidRPr="00404DD3" w14:paraId="731248A1"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tcPr>
          <w:p w14:paraId="1315B451" w14:textId="77777777" w:rsidR="00404DD3" w:rsidRPr="00ED5DF6" w:rsidRDefault="00404DD3" w:rsidP="00404DD3">
            <w:pPr>
              <w:spacing w:after="0" w:line="259" w:lineRule="auto"/>
              <w:ind w:left="720"/>
              <w:contextualSpacing/>
              <w:rPr>
                <w:b w:val="0"/>
                <w:bCs w:val="0"/>
              </w:rPr>
            </w:pPr>
            <w:r w:rsidRPr="00ED5DF6">
              <w:rPr>
                <w:b w:val="0"/>
                <w:bCs w:val="0"/>
              </w:rPr>
              <w:t>Measure A – Connection to existing safety planning efforts</w:t>
            </w:r>
          </w:p>
        </w:tc>
        <w:tc>
          <w:tcPr>
            <w:tcW w:w="1335" w:type="dxa"/>
            <w:tcBorders>
              <w:top w:val="nil"/>
              <w:bottom w:val="nil"/>
            </w:tcBorders>
          </w:tcPr>
          <w:p w14:paraId="42B3495D"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2902743F"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single" w:sz="18" w:space="0" w:color="4F81BD" w:themeColor="accent1"/>
            </w:tcBorders>
          </w:tcPr>
          <w:p w14:paraId="1F792C25" w14:textId="77777777" w:rsidR="00404DD3" w:rsidRPr="00ED5DF6" w:rsidRDefault="00404DD3" w:rsidP="00404DD3">
            <w:pPr>
              <w:spacing w:after="0"/>
              <w:ind w:left="720"/>
              <w:contextualSpacing/>
              <w:rPr>
                <w:b w:val="0"/>
                <w:bCs w:val="0"/>
              </w:rPr>
            </w:pPr>
            <w:r w:rsidRPr="00ED5DF6">
              <w:rPr>
                <w:b w:val="0"/>
                <w:bCs w:val="0"/>
              </w:rPr>
              <w:t>Measure B – Safety improvements for people outside of vehicles</w:t>
            </w:r>
          </w:p>
        </w:tc>
        <w:tc>
          <w:tcPr>
            <w:tcW w:w="1335" w:type="dxa"/>
            <w:tcBorders>
              <w:top w:val="nil"/>
              <w:bottom w:val="single" w:sz="18" w:space="0" w:color="4F81BD" w:themeColor="accent1"/>
            </w:tcBorders>
          </w:tcPr>
          <w:p w14:paraId="069F5166"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15</w:t>
            </w:r>
          </w:p>
        </w:tc>
      </w:tr>
      <w:tr w:rsidR="00404DD3" w:rsidRPr="00404DD3" w14:paraId="38645841"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bottom w:val="nil"/>
            </w:tcBorders>
          </w:tcPr>
          <w:p w14:paraId="5E326595" w14:textId="77777777" w:rsidR="00404DD3" w:rsidRPr="00404DD3" w:rsidRDefault="00404DD3" w:rsidP="00404DD3">
            <w:pPr>
              <w:numPr>
                <w:ilvl w:val="0"/>
                <w:numId w:val="22"/>
              </w:numPr>
              <w:spacing w:after="0"/>
              <w:contextualSpacing/>
            </w:pPr>
            <w:r w:rsidRPr="00404DD3">
              <w:t>Community Considerations</w:t>
            </w:r>
          </w:p>
        </w:tc>
        <w:tc>
          <w:tcPr>
            <w:tcW w:w="1335" w:type="dxa"/>
            <w:tcBorders>
              <w:top w:val="single" w:sz="18" w:space="0" w:color="4F81BD" w:themeColor="accent1"/>
              <w:bottom w:val="nil"/>
            </w:tcBorders>
          </w:tcPr>
          <w:p w14:paraId="4E6FF705"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b/>
                <w:bCs/>
              </w:rPr>
            </w:pPr>
            <w:r w:rsidRPr="00404DD3">
              <w:rPr>
                <w:rFonts w:eastAsiaTheme="minorHAnsi" w:cs="Arial"/>
                <w:b/>
                <w:bCs/>
              </w:rPr>
              <w:t>20</w:t>
            </w:r>
          </w:p>
        </w:tc>
      </w:tr>
      <w:tr w:rsidR="00404DD3" w:rsidRPr="00404DD3" w14:paraId="170D2CB1"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vAlign w:val="center"/>
          </w:tcPr>
          <w:p w14:paraId="7C9A7C7E" w14:textId="77777777" w:rsidR="00404DD3" w:rsidRPr="00ED5DF6" w:rsidRDefault="00404DD3" w:rsidP="00404DD3">
            <w:pPr>
              <w:spacing w:after="0" w:line="259" w:lineRule="auto"/>
              <w:ind w:left="720"/>
              <w:contextualSpacing/>
              <w:rPr>
                <w:b w:val="0"/>
                <w:bCs w:val="0"/>
              </w:rPr>
            </w:pPr>
            <w:r w:rsidRPr="00ED5DF6">
              <w:rPr>
                <w:b w:val="0"/>
                <w:bCs w:val="0"/>
              </w:rPr>
              <w:t>Measure A – Community data and context</w:t>
            </w:r>
          </w:p>
        </w:tc>
        <w:tc>
          <w:tcPr>
            <w:tcW w:w="1335" w:type="dxa"/>
            <w:tcBorders>
              <w:top w:val="nil"/>
              <w:bottom w:val="nil"/>
            </w:tcBorders>
            <w:vAlign w:val="center"/>
          </w:tcPr>
          <w:p w14:paraId="4DA6E788"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24E02458"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bottom w:val="nil"/>
            </w:tcBorders>
            <w:vAlign w:val="center"/>
          </w:tcPr>
          <w:p w14:paraId="6F78456F" w14:textId="77777777" w:rsidR="00404DD3" w:rsidRPr="00ED5DF6" w:rsidRDefault="00404DD3" w:rsidP="00404DD3">
            <w:pPr>
              <w:spacing w:after="0" w:line="259" w:lineRule="auto"/>
              <w:ind w:left="720"/>
              <w:contextualSpacing/>
              <w:rPr>
                <w:b w:val="0"/>
                <w:bCs w:val="0"/>
              </w:rPr>
            </w:pPr>
            <w:r w:rsidRPr="00ED5DF6">
              <w:rPr>
                <w:b w:val="0"/>
                <w:bCs w:val="0"/>
              </w:rPr>
              <w:t>Measure B – Community need and future engagement</w:t>
            </w:r>
          </w:p>
        </w:tc>
        <w:tc>
          <w:tcPr>
            <w:tcW w:w="1335" w:type="dxa"/>
            <w:tcBorders>
              <w:top w:val="nil"/>
              <w:bottom w:val="nil"/>
            </w:tcBorders>
            <w:vAlign w:val="center"/>
          </w:tcPr>
          <w:p w14:paraId="740CA9EF"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78753BC6" w14:textId="77777777" w:rsidTr="00404DD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nil"/>
            </w:tcBorders>
            <w:vAlign w:val="center"/>
          </w:tcPr>
          <w:p w14:paraId="45DF1AD0" w14:textId="77777777" w:rsidR="00404DD3" w:rsidRPr="00ED5DF6" w:rsidRDefault="00404DD3" w:rsidP="00404DD3">
            <w:pPr>
              <w:spacing w:after="0" w:line="259" w:lineRule="auto"/>
              <w:ind w:left="720"/>
              <w:contextualSpacing/>
              <w:rPr>
                <w:b w:val="0"/>
                <w:bCs w:val="0"/>
              </w:rPr>
            </w:pPr>
            <w:r w:rsidRPr="00ED5DF6">
              <w:rPr>
                <w:b w:val="0"/>
                <w:bCs w:val="0"/>
              </w:rPr>
              <w:t>Measure C – Community benefits</w:t>
            </w:r>
          </w:p>
        </w:tc>
        <w:tc>
          <w:tcPr>
            <w:tcW w:w="1335" w:type="dxa"/>
            <w:tcBorders>
              <w:top w:val="nil"/>
            </w:tcBorders>
            <w:vAlign w:val="center"/>
          </w:tcPr>
          <w:p w14:paraId="1B14650C"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68861D62" w14:textId="77777777" w:rsidTr="00404DD3">
        <w:trPr>
          <w:trHeight w:val="302"/>
        </w:trPr>
        <w:tc>
          <w:tcPr>
            <w:cnfStyle w:val="001000000000" w:firstRow="0" w:lastRow="0" w:firstColumn="1" w:lastColumn="0" w:oddVBand="0" w:evenVBand="0" w:oddHBand="0" w:evenHBand="0" w:firstRowFirstColumn="0" w:firstRowLastColumn="0" w:lastRowFirstColumn="0" w:lastRowLastColumn="0"/>
            <w:tcW w:w="8735" w:type="dxa"/>
            <w:tcBorders>
              <w:top w:val="single" w:sz="18" w:space="0" w:color="4F81BD" w:themeColor="accent1"/>
            </w:tcBorders>
          </w:tcPr>
          <w:p w14:paraId="44830088" w14:textId="77777777" w:rsidR="00404DD3" w:rsidRPr="00404DD3" w:rsidRDefault="00404DD3" w:rsidP="00404DD3">
            <w:pPr>
              <w:spacing w:after="0"/>
            </w:pPr>
            <w:r w:rsidRPr="00404DD3">
              <w:t>Total</w:t>
            </w:r>
          </w:p>
        </w:tc>
        <w:tc>
          <w:tcPr>
            <w:tcW w:w="1335" w:type="dxa"/>
            <w:tcBorders>
              <w:top w:val="single" w:sz="18" w:space="0" w:color="4F81BD" w:themeColor="accent1"/>
            </w:tcBorders>
          </w:tcPr>
          <w:p w14:paraId="70B846EE"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b/>
                <w:bCs/>
              </w:rPr>
            </w:pPr>
            <w:r w:rsidRPr="00404DD3">
              <w:rPr>
                <w:rFonts w:eastAsiaTheme="minorHAnsi" w:cs="Arial"/>
                <w:b/>
                <w:bCs/>
              </w:rPr>
              <w:t>100</w:t>
            </w:r>
          </w:p>
        </w:tc>
      </w:tr>
      <w:bookmarkEnd w:id="5"/>
    </w:tbl>
    <w:p w14:paraId="17CCEB0A" w14:textId="77777777" w:rsidR="00404DD3" w:rsidRDefault="00404DD3" w:rsidP="00404DD3"/>
    <w:p w14:paraId="2B619BDA" w14:textId="77777777" w:rsidR="00404DD3" w:rsidRDefault="00404DD3" w:rsidP="00404DD3">
      <w:pPr>
        <w:spacing w:after="0"/>
      </w:pPr>
      <w:r>
        <w:br w:type="page"/>
      </w:r>
    </w:p>
    <w:p w14:paraId="5AA4BD08" w14:textId="2A7688E1" w:rsidR="00404DD3" w:rsidRPr="00973337" w:rsidRDefault="00404DD3" w:rsidP="00404DD3">
      <w:r w:rsidRPr="00973337">
        <w:lastRenderedPageBreak/>
        <w:t xml:space="preserve">Selected projects in this category will be funded through the </w:t>
      </w:r>
      <w:r w:rsidR="00BB6C17">
        <w:t>r</w:t>
      </w:r>
      <w:r w:rsidRPr="00973337">
        <w:t xml:space="preserve">egional </w:t>
      </w:r>
      <w:r w:rsidR="00BB6C17">
        <w:t>a</w:t>
      </w:r>
      <w:r w:rsidRPr="00973337">
        <w:t xml:space="preserve">ctive </w:t>
      </w:r>
      <w:r w:rsidR="00BB6C17">
        <w:t>t</w:t>
      </w:r>
      <w:r w:rsidRPr="00973337">
        <w:t xml:space="preserve">ransportation </w:t>
      </w:r>
      <w:r w:rsidR="00BB6C17">
        <w:t>s</w:t>
      </w:r>
      <w:r w:rsidRPr="00973337">
        <w:t xml:space="preserve">ales </w:t>
      </w:r>
      <w:r w:rsidR="00BB6C17">
        <w:t>t</w:t>
      </w:r>
      <w:r w:rsidRPr="00973337">
        <w:t>ax, and as such, project selection must be based on:</w:t>
      </w:r>
    </w:p>
    <w:p w14:paraId="7CF4B6A4" w14:textId="00E2C884" w:rsidR="00404DD3" w:rsidRPr="00973337" w:rsidRDefault="00404DD3" w:rsidP="00404DD3">
      <w:pPr>
        <w:pStyle w:val="ListNumbered"/>
        <w:numPr>
          <w:ilvl w:val="0"/>
          <w:numId w:val="28"/>
        </w:numPr>
        <w:spacing w:after="240"/>
        <w:contextualSpacing/>
      </w:pPr>
      <w:r w:rsidRPr="00973337">
        <w:t>Project's inclusion in a municipal or regional nonmotorized transportation system plan (see qualifying requirements)</w:t>
      </w:r>
      <w:r w:rsidR="00FA1F00">
        <w:t>.</w:t>
      </w:r>
    </w:p>
    <w:p w14:paraId="530FB081" w14:textId="1DD4FC4E" w:rsidR="00404DD3" w:rsidRPr="00973337" w:rsidRDefault="00404DD3" w:rsidP="00404DD3">
      <w:pPr>
        <w:pStyle w:val="ListNumbered"/>
        <w:spacing w:after="240"/>
        <w:contextualSpacing/>
      </w:pPr>
      <w:r w:rsidRPr="00973337">
        <w:t>Extent to which policies or practices of the political subdivision encourage and promote complete streets planning, design, and construction (see criterion 1)</w:t>
      </w:r>
      <w:r w:rsidR="00FA1F00">
        <w:t>.</w:t>
      </w:r>
    </w:p>
    <w:p w14:paraId="1BF339AE" w14:textId="3FB0C3CB" w:rsidR="00404DD3" w:rsidRPr="00973337" w:rsidRDefault="00404DD3" w:rsidP="00404DD3">
      <w:pPr>
        <w:pStyle w:val="ListNumbered"/>
        <w:spacing w:after="240"/>
        <w:contextualSpacing/>
      </w:pPr>
      <w:r w:rsidRPr="00973337">
        <w:t>Extent to which the project supports connections between communities and to key destinations within a community (see criterion 2)</w:t>
      </w:r>
      <w:r w:rsidR="00FA1F00">
        <w:t>.</w:t>
      </w:r>
    </w:p>
    <w:p w14:paraId="5CF88281" w14:textId="61A4CD0C" w:rsidR="00404DD3" w:rsidRPr="00973337" w:rsidRDefault="00404DD3" w:rsidP="00404DD3">
      <w:pPr>
        <w:pStyle w:val="ListNumbered"/>
        <w:spacing w:after="240"/>
        <w:contextualSpacing/>
      </w:pPr>
      <w:r w:rsidRPr="00973337">
        <w:t>Identified barriers or deficiencies in the nonmotorized transportation system (see criterion 3)</w:t>
      </w:r>
      <w:r w:rsidR="00FA1F00">
        <w:t>.</w:t>
      </w:r>
    </w:p>
    <w:p w14:paraId="44B374D7" w14:textId="6810136F" w:rsidR="00404DD3" w:rsidRPr="00973337" w:rsidRDefault="00404DD3" w:rsidP="00404DD3">
      <w:pPr>
        <w:pStyle w:val="ListNumbered"/>
        <w:spacing w:after="240"/>
        <w:contextualSpacing/>
      </w:pPr>
      <w:r w:rsidRPr="00973337">
        <w:t>Identified safety or health benefits (see criterion 4)</w:t>
      </w:r>
      <w:r w:rsidR="00FA1F00">
        <w:t>.</w:t>
      </w:r>
    </w:p>
    <w:p w14:paraId="33963E1D" w14:textId="18692ACF" w:rsidR="00404DD3" w:rsidRPr="00973337" w:rsidRDefault="00404DD3" w:rsidP="00404DD3">
      <w:pPr>
        <w:pStyle w:val="ListNumbered"/>
        <w:spacing w:after="240"/>
        <w:contextualSpacing/>
      </w:pPr>
      <w:r w:rsidRPr="00973337">
        <w:t>Geographic equity in project benefits, with an emphasis on communities that are historically and currently underrepresented in local or regional planning (see criterion 5; project selection will also consider geographic equity)</w:t>
      </w:r>
      <w:r w:rsidR="00FA1F00">
        <w:t>.</w:t>
      </w:r>
    </w:p>
    <w:p w14:paraId="25D9A87E" w14:textId="77777777" w:rsidR="00404DD3" w:rsidRPr="00973337" w:rsidRDefault="00404DD3" w:rsidP="00404DD3">
      <w:pPr>
        <w:pStyle w:val="ListNumbered"/>
        <w:spacing w:after="240"/>
        <w:contextualSpacing/>
      </w:pPr>
      <w:r w:rsidRPr="00973337">
        <w:t>Ability of a grantee to maintain the active transportation infrastructure following project completion (see qualifying requirements).</w:t>
      </w:r>
    </w:p>
    <w:p w14:paraId="2A21A7F7" w14:textId="77777777" w:rsidR="00404DD3" w:rsidRPr="00973337" w:rsidRDefault="00404DD3" w:rsidP="00404DD3">
      <w:r w:rsidRPr="00973337">
        <w:t>The qualifying and scoring criteria for this category are designed to address these seven state requirements.</w:t>
      </w:r>
    </w:p>
    <w:p w14:paraId="68357F6D" w14:textId="77777777" w:rsidR="00404DD3" w:rsidRDefault="00404DD3" w:rsidP="00404DD3">
      <w:pPr>
        <w:pStyle w:val="Heading1"/>
      </w:pPr>
      <w:r>
        <w:t>Examples of Eligible Projects</w:t>
      </w:r>
    </w:p>
    <w:p w14:paraId="67666A7D" w14:textId="77777777" w:rsidR="00404DD3" w:rsidRPr="00973337" w:rsidRDefault="00404DD3" w:rsidP="00404DD3">
      <w:bookmarkStart w:id="6" w:name="_Hlk211888495"/>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bookmarkEnd w:id="6"/>
    <w:p w14:paraId="5F101AD8" w14:textId="77777777" w:rsidR="00404DD3" w:rsidRPr="00973337" w:rsidRDefault="00404DD3" w:rsidP="00404DD3">
      <w:pPr>
        <w:pStyle w:val="ListParagraph"/>
        <w:numPr>
          <w:ilvl w:val="0"/>
          <w:numId w:val="23"/>
        </w:numPr>
      </w:pPr>
      <w:r w:rsidRPr="00973337">
        <w:t>Multiuse trails or shared-use paths</w:t>
      </w:r>
    </w:p>
    <w:p w14:paraId="07E2BDB8" w14:textId="77777777" w:rsidR="00404DD3" w:rsidRPr="00973337" w:rsidRDefault="00404DD3" w:rsidP="00404DD3">
      <w:pPr>
        <w:pStyle w:val="ListParagraph"/>
        <w:numPr>
          <w:ilvl w:val="0"/>
          <w:numId w:val="23"/>
        </w:numPr>
      </w:pPr>
      <w:r w:rsidRPr="00973337">
        <w:t xml:space="preserve">On-street or </w:t>
      </w:r>
      <w:proofErr w:type="gramStart"/>
      <w:r w:rsidRPr="00973337">
        <w:t>separated</w:t>
      </w:r>
      <w:proofErr w:type="gramEnd"/>
      <w:r w:rsidRPr="00973337">
        <w:t xml:space="preserve"> bicycle facilities</w:t>
      </w:r>
    </w:p>
    <w:p w14:paraId="2094E8E1" w14:textId="77777777" w:rsidR="00404DD3" w:rsidRPr="00973337" w:rsidRDefault="00404DD3" w:rsidP="00404DD3">
      <w:pPr>
        <w:pStyle w:val="ListParagraph"/>
        <w:numPr>
          <w:ilvl w:val="0"/>
          <w:numId w:val="23"/>
        </w:numPr>
      </w:pPr>
      <w:r w:rsidRPr="00973337">
        <w:t>At-grade or grade-separated bicycle crossing improvements or connections</w:t>
      </w:r>
    </w:p>
    <w:p w14:paraId="0BB6B996" w14:textId="77777777" w:rsidR="00404DD3" w:rsidRPr="00973337" w:rsidRDefault="00404DD3" w:rsidP="00404DD3">
      <w:pPr>
        <w:pStyle w:val="ListParagraph"/>
        <w:numPr>
          <w:ilvl w:val="0"/>
          <w:numId w:val="23"/>
        </w:numPr>
      </w:pPr>
      <w:r w:rsidRPr="00973337">
        <w:t>Filling multiple gaps, improving multiple crossings, or making other similar improvements along a corridor</w:t>
      </w:r>
    </w:p>
    <w:p w14:paraId="7BFA6BA8" w14:textId="77777777" w:rsidR="00404DD3" w:rsidRPr="00973337" w:rsidRDefault="00404DD3" w:rsidP="00404DD3">
      <w:pPr>
        <w:pStyle w:val="ListParagraph"/>
        <w:numPr>
          <w:ilvl w:val="0"/>
          <w:numId w:val="23"/>
        </w:numPr>
      </w:pPr>
      <w:proofErr w:type="spellStart"/>
      <w:r w:rsidRPr="00973337">
        <w:t>Bikesharing</w:t>
      </w:r>
      <w:proofErr w:type="spellEnd"/>
      <w:r w:rsidRPr="00973337">
        <w:t xml:space="preserve"> infrastructure</w:t>
      </w:r>
    </w:p>
    <w:p w14:paraId="510106C3" w14:textId="7F172EBE" w:rsidR="00404DD3" w:rsidRPr="00973337" w:rsidRDefault="00404DD3" w:rsidP="00404DD3">
      <w:pPr>
        <w:pStyle w:val="ListParagraph"/>
        <w:numPr>
          <w:ilvl w:val="0"/>
          <w:numId w:val="23"/>
        </w:numPr>
      </w:pPr>
      <w:r w:rsidRPr="00973337">
        <w:t>Elements that support bicycling (such as bike rack installation, bicycle repair stations, benches, wayfinding, etc.) may be included as part of a construction project, but are not eligible as standalone projects</w:t>
      </w:r>
    </w:p>
    <w:p w14:paraId="58E13743" w14:textId="71433351" w:rsidR="00404DD3" w:rsidRDefault="00404DD3">
      <w:pPr>
        <w:spacing w:after="0"/>
      </w:pPr>
      <w:r>
        <w:br w:type="page"/>
      </w:r>
    </w:p>
    <w:p w14:paraId="56360619" w14:textId="77777777" w:rsidR="00404DD3" w:rsidRPr="009E6D03" w:rsidRDefault="00404DD3" w:rsidP="00404DD3">
      <w:pPr>
        <w:pStyle w:val="ReportTitle"/>
      </w:pPr>
      <w:r>
        <w:lastRenderedPageBreak/>
        <w:t>Local Pedestrian facilities</w:t>
      </w:r>
    </w:p>
    <w:p w14:paraId="7194CC2A" w14:textId="77777777" w:rsidR="00404DD3" w:rsidRPr="009E6D03" w:rsidRDefault="00404DD3" w:rsidP="00404DD3">
      <w:pPr>
        <w:pStyle w:val="Heading1"/>
      </w:pPr>
      <w:r w:rsidRPr="009E6D03">
        <w:t>Prioritizing Criteria and Measures</w:t>
      </w:r>
    </w:p>
    <w:p w14:paraId="7469545A" w14:textId="67DF5D9D" w:rsidR="00404DD3" w:rsidRPr="00973337" w:rsidRDefault="00404DD3" w:rsidP="00404DD3">
      <w:pPr>
        <w:rPr>
          <w:b/>
          <w:bCs/>
        </w:rPr>
      </w:pPr>
      <w:r w:rsidRPr="00973337">
        <w:rPr>
          <w:b/>
          <w:bCs/>
        </w:rPr>
        <w:t xml:space="preserve">2050 TPP Goal: </w:t>
      </w:r>
      <w:r w:rsidRPr="00973337">
        <w:t xml:space="preserve">Our </w:t>
      </w:r>
      <w:r w:rsidR="00736DC9">
        <w:t>r</w:t>
      </w:r>
      <w:r w:rsidRPr="00973337">
        <w:t xml:space="preserve">egion is </w:t>
      </w:r>
      <w:r w:rsidR="00736DC9">
        <w:t>d</w:t>
      </w:r>
      <w:r w:rsidRPr="00973337">
        <w:t xml:space="preserve">ynamic and </w:t>
      </w:r>
      <w:r w:rsidR="00736DC9">
        <w:t>r</w:t>
      </w:r>
      <w:r w:rsidRPr="00973337">
        <w:t xml:space="preserve">esilient </w:t>
      </w:r>
    </w:p>
    <w:p w14:paraId="07D5EC85" w14:textId="77777777" w:rsidR="00404DD3" w:rsidRPr="00973337" w:rsidRDefault="00404DD3" w:rsidP="00404DD3">
      <w:pPr>
        <w:pStyle w:val="ListBullet"/>
        <w:numPr>
          <w:ilvl w:val="0"/>
          <w:numId w:val="0"/>
        </w:numPr>
        <w:rPr>
          <w:rFonts w:eastAsia="Arial" w:cs="Arial"/>
        </w:rPr>
      </w:pPr>
      <w:r w:rsidRPr="00973337">
        <w:rPr>
          <w:rFonts w:eastAsia="Arial" w:cs="Arial"/>
          <w:b/>
          <w:bCs/>
        </w:rPr>
        <w:t xml:space="preserve">2050 TPP Objectives or Policies: </w:t>
      </w:r>
    </w:p>
    <w:p w14:paraId="34DF6C7B" w14:textId="77777777" w:rsidR="00404DD3" w:rsidRPr="00973337" w:rsidRDefault="00404DD3" w:rsidP="00404DD3">
      <w:pPr>
        <w:pStyle w:val="ListBullet"/>
        <w:tabs>
          <w:tab w:val="clear" w:pos="540"/>
          <w:tab w:val="num" w:pos="360"/>
        </w:tabs>
        <w:spacing w:after="240" w:line="259" w:lineRule="auto"/>
        <w:contextualSpacing/>
        <w:rPr>
          <w:rFonts w:eastAsia="Arial" w:cs="Arial"/>
        </w:rPr>
      </w:pPr>
      <w:r w:rsidRPr="00973337">
        <w:rPr>
          <w:rFonts w:eastAsia="Arial" w:cs="Arial"/>
        </w:rPr>
        <w:t xml:space="preserve">People have better travel options </w:t>
      </w:r>
      <w:proofErr w:type="gramStart"/>
      <w:r w:rsidRPr="00973337">
        <w:rPr>
          <w:rFonts w:eastAsia="Arial" w:cs="Arial"/>
        </w:rPr>
        <w:t>beyond</w:t>
      </w:r>
      <w:proofErr w:type="gramEnd"/>
      <w:r w:rsidRPr="00973337">
        <w:rPr>
          <w:rFonts w:eastAsia="Arial" w:cs="Arial"/>
        </w:rPr>
        <w:t xml:space="preserve"> driving alone to meet their daily needs, with a focus on improving travel times, reliability, directness, and affordability.</w:t>
      </w:r>
    </w:p>
    <w:p w14:paraId="7A516D11" w14:textId="77777777" w:rsidR="00404DD3" w:rsidRPr="00973337" w:rsidRDefault="00404DD3" w:rsidP="00404DD3">
      <w:pPr>
        <w:pStyle w:val="ListBullet"/>
        <w:tabs>
          <w:tab w:val="clear" w:pos="540"/>
          <w:tab w:val="num" w:pos="360"/>
        </w:tabs>
        <w:spacing w:after="240" w:line="259" w:lineRule="auto"/>
        <w:contextualSpacing/>
        <w:rPr>
          <w:rFonts w:eastAsia="Arial" w:cs="Arial"/>
        </w:rPr>
      </w:pPr>
      <w:r w:rsidRPr="00973337">
        <w:rPr>
          <w:rFonts w:eastAsia="Arial" w:cs="Arial"/>
        </w:rPr>
        <w:t>People do not die or face life-changing injuries when using any form of transportation.</w:t>
      </w:r>
    </w:p>
    <w:p w14:paraId="20D222D5" w14:textId="77777777" w:rsidR="00404DD3" w:rsidRPr="00973337" w:rsidRDefault="00404DD3" w:rsidP="00404DD3">
      <w:pPr>
        <w:pStyle w:val="ListBullet"/>
        <w:tabs>
          <w:tab w:val="clear" w:pos="540"/>
          <w:tab w:val="num" w:pos="360"/>
        </w:tabs>
        <w:spacing w:after="240" w:line="259" w:lineRule="auto"/>
        <w:contextualSpacing/>
        <w:rPr>
          <w:rFonts w:eastAsia="Arial" w:cs="Arial"/>
        </w:rPr>
      </w:pPr>
      <w:r w:rsidRPr="00973337">
        <w:rPr>
          <w:rFonts w:eastAsia="Arial" w:cs="Arial"/>
        </w:rPr>
        <w:t>People can increase physical activity with more opportunities to walk, roll, or bike.</w:t>
      </w:r>
    </w:p>
    <w:p w14:paraId="388F1062" w14:textId="7086609B" w:rsidR="00404DD3" w:rsidRPr="00973337" w:rsidRDefault="00404DD3" w:rsidP="00404DD3">
      <w:r w:rsidRPr="00973337">
        <w:rPr>
          <w:b/>
          <w:bCs/>
        </w:rPr>
        <w:t xml:space="preserve">Category Definition: </w:t>
      </w:r>
      <w:r w:rsidRPr="00973337">
        <w:t>The Local Pedestrian Facilities application category is intended to fund construction of and improvements to pedestrian-focused facilities that improve mobility, safety or accessibility for pedestrians in local communities.</w:t>
      </w:r>
      <w:r w:rsidRPr="00973337">
        <w:rPr>
          <w:i/>
          <w:iCs/>
        </w:rPr>
        <w:t> </w:t>
      </w:r>
      <w:r w:rsidR="00FA1F00">
        <w:rPr>
          <w:i/>
          <w:iCs/>
        </w:rPr>
        <w:t>This category is funded with regional active transportation sales tax funding.</w:t>
      </w:r>
    </w:p>
    <w:p w14:paraId="6374529F" w14:textId="77777777" w:rsidR="00404DD3" w:rsidRDefault="00404DD3" w:rsidP="00404DD3">
      <w:pPr>
        <w:pStyle w:val="Heading1"/>
      </w:pPr>
      <w:r>
        <w:t>Scoring</w:t>
      </w:r>
    </w:p>
    <w:tbl>
      <w:tblPr>
        <w:tblStyle w:val="ListTable3-Accent1"/>
        <w:tblW w:w="5000" w:type="pct"/>
        <w:tblLayout w:type="fixed"/>
        <w:tblLook w:val="04A0" w:firstRow="1" w:lastRow="0" w:firstColumn="1" w:lastColumn="0" w:noHBand="0" w:noVBand="1"/>
      </w:tblPr>
      <w:tblGrid>
        <w:gridCol w:w="8735"/>
        <w:gridCol w:w="1335"/>
      </w:tblGrid>
      <w:tr w:rsidR="00404DD3" w:rsidRPr="00404DD3" w14:paraId="0D97FD73" w14:textId="77777777" w:rsidTr="000651D8">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18" w:space="0" w:color="4F81BD" w:themeColor="accent1"/>
            </w:tcBorders>
            <w:vAlign w:val="bottom"/>
          </w:tcPr>
          <w:p w14:paraId="19FA4425" w14:textId="77777777" w:rsidR="00404DD3" w:rsidRPr="00404DD3" w:rsidRDefault="00404DD3" w:rsidP="00404DD3">
            <w:pPr>
              <w:spacing w:before="120" w:after="0"/>
              <w:rPr>
                <w:rFonts w:ascii="Arial Nova" w:hAnsi="Arial Nova" w:cs="Arial"/>
                <w:color w:val="FFFFFF" w:themeColor="background1"/>
                <w:szCs w:val="32"/>
              </w:rPr>
            </w:pPr>
            <w:r w:rsidRPr="00404DD3">
              <w:rPr>
                <w:rFonts w:ascii="Arial Nova" w:hAnsi="Arial Nova" w:cs="Arial"/>
                <w:color w:val="FFFFFF" w:themeColor="background1"/>
                <w:szCs w:val="32"/>
              </w:rPr>
              <w:t>Criteria and Measures</w:t>
            </w:r>
          </w:p>
        </w:tc>
        <w:tc>
          <w:tcPr>
            <w:tcW w:w="1210" w:type="dxa"/>
            <w:tcBorders>
              <w:bottom w:val="single" w:sz="18" w:space="0" w:color="4F81BD" w:themeColor="accent1"/>
            </w:tcBorders>
            <w:vAlign w:val="bottom"/>
          </w:tcPr>
          <w:p w14:paraId="3114FF6E" w14:textId="77777777" w:rsidR="00404DD3" w:rsidRPr="00404DD3" w:rsidRDefault="00404DD3" w:rsidP="00404DD3">
            <w:pPr>
              <w:spacing w:before="120" w:after="0"/>
              <w:jc w:val="center"/>
              <w:cnfStyle w:val="100000000000" w:firstRow="1" w:lastRow="0" w:firstColumn="0" w:lastColumn="0" w:oddVBand="0" w:evenVBand="0" w:oddHBand="0" w:evenHBand="0" w:firstRowFirstColumn="0" w:firstRowLastColumn="0" w:lastRowFirstColumn="0" w:lastRowLastColumn="0"/>
              <w:rPr>
                <w:rFonts w:ascii="Arial Nova" w:hAnsi="Arial Nova" w:cs="Arial"/>
                <w:color w:val="FFFFFF" w:themeColor="background1"/>
                <w:szCs w:val="32"/>
              </w:rPr>
            </w:pPr>
            <w:r w:rsidRPr="00404DD3">
              <w:rPr>
                <w:rFonts w:ascii="Arial Nova" w:hAnsi="Arial Nova" w:cs="Arial"/>
                <w:color w:val="FFFFFF" w:themeColor="background1"/>
                <w:szCs w:val="32"/>
              </w:rPr>
              <w:t>%</w:t>
            </w:r>
          </w:p>
        </w:tc>
      </w:tr>
      <w:tr w:rsidR="00404DD3" w:rsidRPr="00404DD3" w14:paraId="4DF7AC2D"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1AE2DA21" w14:textId="77777777" w:rsidR="00404DD3" w:rsidRPr="00404DD3" w:rsidRDefault="00404DD3" w:rsidP="00404DD3">
            <w:pPr>
              <w:numPr>
                <w:ilvl w:val="0"/>
                <w:numId w:val="27"/>
              </w:numPr>
              <w:spacing w:after="0" w:line="259" w:lineRule="auto"/>
              <w:contextualSpacing/>
            </w:pPr>
            <w:r w:rsidRPr="00404DD3">
              <w:t>Complete Streets</w:t>
            </w:r>
          </w:p>
        </w:tc>
        <w:tc>
          <w:tcPr>
            <w:tcW w:w="1210" w:type="dxa"/>
            <w:tcBorders>
              <w:top w:val="single" w:sz="18" w:space="0" w:color="4F81BD" w:themeColor="accent1"/>
              <w:bottom w:val="nil"/>
            </w:tcBorders>
          </w:tcPr>
          <w:p w14:paraId="0BD6E40E"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5</w:t>
            </w:r>
          </w:p>
        </w:tc>
      </w:tr>
      <w:tr w:rsidR="00404DD3" w:rsidRPr="00404DD3" w14:paraId="67586DD7"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319511F1" w14:textId="77777777" w:rsidR="00404DD3" w:rsidRPr="00ED5DF6" w:rsidRDefault="00404DD3" w:rsidP="00404DD3">
            <w:pPr>
              <w:spacing w:after="0" w:line="259" w:lineRule="auto"/>
              <w:ind w:left="720"/>
              <w:contextualSpacing/>
              <w:rPr>
                <w:b w:val="0"/>
                <w:bCs w:val="0"/>
              </w:rPr>
            </w:pPr>
            <w:r w:rsidRPr="00ED5DF6">
              <w:rPr>
                <w:b w:val="0"/>
                <w:bCs w:val="0"/>
              </w:rPr>
              <w:t>Measure A – Complete streets planning, design, and construction</w:t>
            </w:r>
          </w:p>
        </w:tc>
        <w:tc>
          <w:tcPr>
            <w:tcW w:w="1210" w:type="dxa"/>
            <w:tcBorders>
              <w:top w:val="nil"/>
              <w:bottom w:val="single" w:sz="18" w:space="0" w:color="4F81BD" w:themeColor="accent1"/>
            </w:tcBorders>
          </w:tcPr>
          <w:p w14:paraId="3EDE0AFD"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2BD70E40"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467ABA74" w14:textId="77777777" w:rsidR="00404DD3" w:rsidRPr="00404DD3" w:rsidRDefault="00404DD3" w:rsidP="00404DD3">
            <w:pPr>
              <w:numPr>
                <w:ilvl w:val="0"/>
                <w:numId w:val="27"/>
              </w:numPr>
              <w:spacing w:after="0" w:line="259" w:lineRule="auto"/>
              <w:contextualSpacing/>
            </w:pPr>
            <w:r w:rsidRPr="00404DD3">
              <w:t>Connection to Key Destinations</w:t>
            </w:r>
          </w:p>
        </w:tc>
        <w:tc>
          <w:tcPr>
            <w:tcW w:w="1210" w:type="dxa"/>
            <w:tcBorders>
              <w:top w:val="single" w:sz="18" w:space="0" w:color="4F81BD" w:themeColor="accent1"/>
              <w:bottom w:val="nil"/>
            </w:tcBorders>
          </w:tcPr>
          <w:p w14:paraId="6D4FDCD0"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30</w:t>
            </w:r>
          </w:p>
        </w:tc>
      </w:tr>
      <w:tr w:rsidR="00404DD3" w:rsidRPr="00404DD3" w14:paraId="5FA208D3"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744A7C4C" w14:textId="77777777" w:rsidR="00404DD3" w:rsidRPr="00ED5DF6" w:rsidRDefault="00404DD3" w:rsidP="00404DD3">
            <w:pPr>
              <w:spacing w:after="0" w:line="259" w:lineRule="auto"/>
              <w:ind w:left="720"/>
              <w:contextualSpacing/>
              <w:rPr>
                <w:b w:val="0"/>
                <w:bCs w:val="0"/>
              </w:rPr>
            </w:pPr>
            <w:r w:rsidRPr="00ED5DF6">
              <w:rPr>
                <w:b w:val="0"/>
                <w:bCs w:val="0"/>
              </w:rPr>
              <w:t>Measure A – Connection to key destinations</w:t>
            </w:r>
          </w:p>
        </w:tc>
        <w:tc>
          <w:tcPr>
            <w:tcW w:w="1210" w:type="dxa"/>
            <w:tcBorders>
              <w:top w:val="nil"/>
              <w:bottom w:val="nil"/>
            </w:tcBorders>
          </w:tcPr>
          <w:p w14:paraId="688F61A6"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20</w:t>
            </w:r>
          </w:p>
        </w:tc>
      </w:tr>
      <w:tr w:rsidR="00404DD3" w:rsidRPr="00404DD3" w14:paraId="3744E72D"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66397997" w14:textId="596E3875" w:rsidR="00404DD3" w:rsidRPr="00ED5DF6" w:rsidRDefault="00404DD3" w:rsidP="00404DD3">
            <w:pPr>
              <w:spacing w:after="0" w:line="259" w:lineRule="auto"/>
              <w:ind w:left="720"/>
              <w:contextualSpacing/>
              <w:rPr>
                <w:b w:val="0"/>
                <w:bCs w:val="0"/>
              </w:rPr>
            </w:pPr>
            <w:r w:rsidRPr="00ED5DF6">
              <w:rPr>
                <w:b w:val="0"/>
                <w:bCs w:val="0"/>
              </w:rPr>
              <w:t xml:space="preserve">Measure B – Connection to K-12 </w:t>
            </w:r>
            <w:r w:rsidR="00AA459F">
              <w:rPr>
                <w:b w:val="0"/>
                <w:bCs w:val="0"/>
              </w:rPr>
              <w:t>s</w:t>
            </w:r>
            <w:r w:rsidRPr="00ED5DF6">
              <w:rPr>
                <w:b w:val="0"/>
                <w:bCs w:val="0"/>
              </w:rPr>
              <w:t>chools</w:t>
            </w:r>
          </w:p>
        </w:tc>
        <w:tc>
          <w:tcPr>
            <w:tcW w:w="1210" w:type="dxa"/>
            <w:tcBorders>
              <w:top w:val="nil"/>
              <w:bottom w:val="nil"/>
            </w:tcBorders>
          </w:tcPr>
          <w:p w14:paraId="45FA881F"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74CC5F4F"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696581FC" w14:textId="77777777" w:rsidR="00404DD3" w:rsidRPr="00ED5DF6" w:rsidRDefault="00404DD3" w:rsidP="00404DD3">
            <w:pPr>
              <w:spacing w:after="0" w:line="259" w:lineRule="auto"/>
              <w:ind w:left="720"/>
              <w:contextualSpacing/>
              <w:rPr>
                <w:b w:val="0"/>
                <w:bCs w:val="0"/>
              </w:rPr>
            </w:pPr>
            <w:r w:rsidRPr="00ED5DF6">
              <w:rPr>
                <w:b w:val="0"/>
                <w:bCs w:val="0"/>
              </w:rPr>
              <w:t>Measure C – Active transportation demand</w:t>
            </w:r>
          </w:p>
        </w:tc>
        <w:tc>
          <w:tcPr>
            <w:tcW w:w="1210" w:type="dxa"/>
            <w:tcBorders>
              <w:top w:val="nil"/>
              <w:bottom w:val="single" w:sz="18" w:space="0" w:color="4F81BD" w:themeColor="accent1"/>
            </w:tcBorders>
          </w:tcPr>
          <w:p w14:paraId="76389C2D"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3F32C3B3"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5F71485E" w14:textId="77777777" w:rsidR="00404DD3" w:rsidRPr="00404DD3" w:rsidRDefault="00404DD3" w:rsidP="00404DD3">
            <w:pPr>
              <w:numPr>
                <w:ilvl w:val="0"/>
                <w:numId w:val="27"/>
              </w:numPr>
              <w:spacing w:after="0" w:line="259" w:lineRule="auto"/>
              <w:contextualSpacing/>
            </w:pPr>
            <w:r w:rsidRPr="00404DD3">
              <w:t>Identified Gaps, Barriers, or Deficiencies</w:t>
            </w:r>
          </w:p>
        </w:tc>
        <w:tc>
          <w:tcPr>
            <w:tcW w:w="1210" w:type="dxa"/>
            <w:tcBorders>
              <w:top w:val="single" w:sz="18" w:space="0" w:color="4F81BD" w:themeColor="accent1"/>
              <w:bottom w:val="nil"/>
            </w:tcBorders>
          </w:tcPr>
          <w:p w14:paraId="17F222EE"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25</w:t>
            </w:r>
          </w:p>
        </w:tc>
      </w:tr>
      <w:tr w:rsidR="00404DD3" w:rsidRPr="00404DD3" w14:paraId="127B8320"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198A8F8F" w14:textId="77777777" w:rsidR="00404DD3" w:rsidRPr="00ED5DF6" w:rsidRDefault="00404DD3" w:rsidP="00404DD3">
            <w:pPr>
              <w:spacing w:after="0" w:line="259" w:lineRule="auto"/>
              <w:ind w:left="720"/>
              <w:contextualSpacing/>
              <w:rPr>
                <w:b w:val="0"/>
                <w:bCs w:val="0"/>
              </w:rPr>
            </w:pPr>
            <w:r w:rsidRPr="00ED5DF6">
              <w:rPr>
                <w:b w:val="0"/>
                <w:bCs w:val="0"/>
              </w:rPr>
              <w:t>Measure A – Gaps, barriers, or deficiencies addressed</w:t>
            </w:r>
          </w:p>
        </w:tc>
        <w:tc>
          <w:tcPr>
            <w:tcW w:w="1210" w:type="dxa"/>
            <w:tcBorders>
              <w:top w:val="nil"/>
              <w:bottom w:val="single" w:sz="18" w:space="0" w:color="4F81BD" w:themeColor="accent1"/>
            </w:tcBorders>
          </w:tcPr>
          <w:p w14:paraId="73B21925"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25</w:t>
            </w:r>
          </w:p>
        </w:tc>
      </w:tr>
      <w:tr w:rsidR="00404DD3" w:rsidRPr="00404DD3" w14:paraId="46EA40D3"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27621EA5" w14:textId="77777777" w:rsidR="00404DD3" w:rsidRPr="00404DD3" w:rsidRDefault="00404DD3" w:rsidP="00404DD3">
            <w:pPr>
              <w:numPr>
                <w:ilvl w:val="0"/>
                <w:numId w:val="27"/>
              </w:numPr>
              <w:spacing w:after="0" w:line="259" w:lineRule="auto"/>
              <w:contextualSpacing/>
            </w:pPr>
            <w:r w:rsidRPr="00404DD3">
              <w:t>Safety</w:t>
            </w:r>
          </w:p>
        </w:tc>
        <w:tc>
          <w:tcPr>
            <w:tcW w:w="1210" w:type="dxa"/>
            <w:tcBorders>
              <w:top w:val="single" w:sz="18" w:space="0" w:color="4F81BD" w:themeColor="accent1"/>
              <w:bottom w:val="nil"/>
            </w:tcBorders>
          </w:tcPr>
          <w:p w14:paraId="7A3E665F"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20</w:t>
            </w:r>
          </w:p>
        </w:tc>
      </w:tr>
      <w:tr w:rsidR="00404DD3" w:rsidRPr="00404DD3" w14:paraId="26E1B84D"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23C5B14D" w14:textId="77777777" w:rsidR="00404DD3" w:rsidRPr="00ED5DF6" w:rsidRDefault="00404DD3" w:rsidP="00404DD3">
            <w:pPr>
              <w:spacing w:after="0" w:line="259" w:lineRule="auto"/>
              <w:ind w:left="720"/>
              <w:contextualSpacing/>
              <w:rPr>
                <w:b w:val="0"/>
                <w:bCs w:val="0"/>
              </w:rPr>
            </w:pPr>
            <w:r w:rsidRPr="00ED5DF6">
              <w:rPr>
                <w:b w:val="0"/>
                <w:bCs w:val="0"/>
              </w:rPr>
              <w:t>Measure A – Connection to existing safety planning efforts</w:t>
            </w:r>
          </w:p>
        </w:tc>
        <w:tc>
          <w:tcPr>
            <w:tcW w:w="1210" w:type="dxa"/>
            <w:tcBorders>
              <w:top w:val="nil"/>
              <w:bottom w:val="nil"/>
            </w:tcBorders>
          </w:tcPr>
          <w:p w14:paraId="722F97DC"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5</w:t>
            </w:r>
          </w:p>
        </w:tc>
      </w:tr>
      <w:tr w:rsidR="00404DD3" w:rsidRPr="00404DD3" w14:paraId="5A759C86"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3C6832AC" w14:textId="77777777" w:rsidR="00404DD3" w:rsidRPr="00ED5DF6" w:rsidRDefault="00404DD3" w:rsidP="00404DD3">
            <w:pPr>
              <w:spacing w:after="0" w:line="259" w:lineRule="auto"/>
              <w:ind w:left="720"/>
              <w:contextualSpacing/>
              <w:rPr>
                <w:b w:val="0"/>
                <w:bCs w:val="0"/>
              </w:rPr>
            </w:pPr>
            <w:r w:rsidRPr="00ED5DF6">
              <w:rPr>
                <w:b w:val="0"/>
                <w:bCs w:val="0"/>
              </w:rPr>
              <w:t>Measure B – Safety improvements for people outside of vehicles</w:t>
            </w:r>
          </w:p>
        </w:tc>
        <w:tc>
          <w:tcPr>
            <w:tcW w:w="1210" w:type="dxa"/>
            <w:tcBorders>
              <w:top w:val="nil"/>
              <w:bottom w:val="single" w:sz="18" w:space="0" w:color="4F81BD" w:themeColor="accent1"/>
            </w:tcBorders>
          </w:tcPr>
          <w:p w14:paraId="046CBC04"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15</w:t>
            </w:r>
          </w:p>
        </w:tc>
      </w:tr>
      <w:tr w:rsidR="00404DD3" w:rsidRPr="00404DD3" w14:paraId="4C6C320E"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6D02ADEC" w14:textId="77777777" w:rsidR="00404DD3" w:rsidRPr="00404DD3" w:rsidRDefault="00404DD3" w:rsidP="00404DD3">
            <w:pPr>
              <w:numPr>
                <w:ilvl w:val="0"/>
                <w:numId w:val="27"/>
              </w:numPr>
              <w:spacing w:after="0" w:line="259" w:lineRule="auto"/>
              <w:contextualSpacing/>
            </w:pPr>
            <w:r w:rsidRPr="00404DD3">
              <w:t>Community Considerations</w:t>
            </w:r>
          </w:p>
        </w:tc>
        <w:tc>
          <w:tcPr>
            <w:tcW w:w="1210" w:type="dxa"/>
            <w:tcBorders>
              <w:top w:val="single" w:sz="18" w:space="0" w:color="4F81BD" w:themeColor="accent1"/>
              <w:bottom w:val="nil"/>
            </w:tcBorders>
          </w:tcPr>
          <w:p w14:paraId="1AD7307F"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b/>
                <w:bCs/>
              </w:rPr>
            </w:pPr>
            <w:r w:rsidRPr="00404DD3">
              <w:rPr>
                <w:rFonts w:eastAsiaTheme="minorHAnsi" w:cs="Arial"/>
                <w:b/>
                <w:bCs/>
              </w:rPr>
              <w:t>20</w:t>
            </w:r>
          </w:p>
        </w:tc>
      </w:tr>
      <w:tr w:rsidR="00404DD3" w:rsidRPr="00404DD3" w14:paraId="4066AF2E"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6DC92C95" w14:textId="77777777" w:rsidR="00404DD3" w:rsidRPr="00ED5DF6" w:rsidRDefault="00404DD3" w:rsidP="00404DD3">
            <w:pPr>
              <w:spacing w:after="0" w:line="259" w:lineRule="auto"/>
              <w:ind w:left="720"/>
              <w:contextualSpacing/>
              <w:rPr>
                <w:b w:val="0"/>
                <w:bCs w:val="0"/>
              </w:rPr>
            </w:pPr>
            <w:r w:rsidRPr="00ED5DF6">
              <w:rPr>
                <w:b w:val="0"/>
                <w:bCs w:val="0"/>
              </w:rPr>
              <w:t>Measure A – Community data and context</w:t>
            </w:r>
          </w:p>
        </w:tc>
        <w:tc>
          <w:tcPr>
            <w:tcW w:w="1210" w:type="dxa"/>
            <w:tcBorders>
              <w:top w:val="nil"/>
              <w:bottom w:val="nil"/>
            </w:tcBorders>
            <w:vAlign w:val="center"/>
          </w:tcPr>
          <w:p w14:paraId="59C046BD"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26A8B811"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3E5B4E7A" w14:textId="77777777" w:rsidR="00404DD3" w:rsidRPr="00ED5DF6" w:rsidRDefault="00404DD3" w:rsidP="00404DD3">
            <w:pPr>
              <w:spacing w:after="0" w:line="259" w:lineRule="auto"/>
              <w:ind w:left="720"/>
              <w:contextualSpacing/>
              <w:rPr>
                <w:b w:val="0"/>
                <w:bCs w:val="0"/>
              </w:rPr>
            </w:pPr>
            <w:r w:rsidRPr="00ED5DF6">
              <w:rPr>
                <w:b w:val="0"/>
                <w:bCs w:val="0"/>
              </w:rPr>
              <w:t>Measure B – Community need and future engagement</w:t>
            </w:r>
          </w:p>
        </w:tc>
        <w:tc>
          <w:tcPr>
            <w:tcW w:w="1210" w:type="dxa"/>
            <w:tcBorders>
              <w:top w:val="nil"/>
              <w:bottom w:val="nil"/>
            </w:tcBorders>
            <w:vAlign w:val="center"/>
          </w:tcPr>
          <w:p w14:paraId="4FDE8532"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4A3F4960"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31AA230B" w14:textId="77777777" w:rsidR="00404DD3" w:rsidRPr="00ED5DF6" w:rsidRDefault="00404DD3" w:rsidP="00404DD3">
            <w:pPr>
              <w:spacing w:after="0" w:line="259" w:lineRule="auto"/>
              <w:ind w:left="720"/>
              <w:contextualSpacing/>
              <w:rPr>
                <w:b w:val="0"/>
                <w:bCs w:val="0"/>
              </w:rPr>
            </w:pPr>
            <w:r w:rsidRPr="00ED5DF6">
              <w:rPr>
                <w:b w:val="0"/>
                <w:bCs w:val="0"/>
              </w:rPr>
              <w:t>Measure C – Community benefits</w:t>
            </w:r>
          </w:p>
        </w:tc>
        <w:tc>
          <w:tcPr>
            <w:tcW w:w="1210" w:type="dxa"/>
            <w:tcBorders>
              <w:top w:val="nil"/>
            </w:tcBorders>
            <w:vAlign w:val="center"/>
          </w:tcPr>
          <w:p w14:paraId="670F1FAE"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rPr>
            </w:pPr>
            <w:r w:rsidRPr="00404DD3">
              <w:rPr>
                <w:rFonts w:eastAsiaTheme="minorHAnsi" w:cs="Arial"/>
              </w:rPr>
              <w:t>6.7</w:t>
            </w:r>
          </w:p>
        </w:tc>
      </w:tr>
      <w:tr w:rsidR="00404DD3" w:rsidRPr="00404DD3" w14:paraId="386C3877"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78EEC8AE" w14:textId="77777777" w:rsidR="00404DD3" w:rsidRPr="00404DD3" w:rsidRDefault="00404DD3" w:rsidP="00404DD3">
            <w:pPr>
              <w:spacing w:after="0" w:line="259" w:lineRule="auto"/>
            </w:pPr>
            <w:r w:rsidRPr="00404DD3">
              <w:t>Total</w:t>
            </w:r>
          </w:p>
        </w:tc>
        <w:tc>
          <w:tcPr>
            <w:tcW w:w="1210" w:type="dxa"/>
            <w:tcBorders>
              <w:top w:val="single" w:sz="18" w:space="0" w:color="4F81BD" w:themeColor="accent1"/>
            </w:tcBorders>
          </w:tcPr>
          <w:p w14:paraId="7B95AF1F"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b/>
                <w:bCs/>
              </w:rPr>
            </w:pPr>
            <w:r w:rsidRPr="00404DD3">
              <w:rPr>
                <w:rFonts w:eastAsiaTheme="minorHAnsi" w:cs="Arial"/>
                <w:b/>
                <w:bCs/>
              </w:rPr>
              <w:t>100</w:t>
            </w:r>
          </w:p>
        </w:tc>
      </w:tr>
    </w:tbl>
    <w:p w14:paraId="3F8E0038" w14:textId="77777777" w:rsidR="00404DD3" w:rsidRPr="00686162" w:rsidRDefault="00404DD3" w:rsidP="00404DD3"/>
    <w:p w14:paraId="45AB4214" w14:textId="77777777" w:rsidR="00404DD3" w:rsidRDefault="00404DD3" w:rsidP="00404DD3">
      <w:pPr>
        <w:spacing w:after="0"/>
      </w:pPr>
      <w:r>
        <w:br w:type="page"/>
      </w:r>
    </w:p>
    <w:p w14:paraId="5612DC05" w14:textId="77777777" w:rsidR="00404DD3" w:rsidRPr="00973337" w:rsidRDefault="00404DD3" w:rsidP="00404DD3">
      <w:r w:rsidRPr="00973337">
        <w:lastRenderedPageBreak/>
        <w:t>Selected projects in this category will be funded through the Regional Active Transportation Sales Tax, and as such, project selection must be based on:</w:t>
      </w:r>
      <w:r w:rsidRPr="00973337">
        <w:rPr>
          <w:i/>
          <w:iCs/>
        </w:rPr>
        <w:t> </w:t>
      </w:r>
      <w:r w:rsidRPr="00973337" w:rsidDel="002C44F3">
        <w:rPr>
          <w:i/>
          <w:iCs/>
        </w:rPr>
        <w:t xml:space="preserve"> </w:t>
      </w:r>
    </w:p>
    <w:p w14:paraId="2C8F9518" w14:textId="56EFB0B7" w:rsidR="00404DD3" w:rsidRPr="00973337" w:rsidRDefault="00404DD3" w:rsidP="00404DD3">
      <w:pPr>
        <w:pStyle w:val="ListNumbered"/>
        <w:numPr>
          <w:ilvl w:val="0"/>
          <w:numId w:val="29"/>
        </w:numPr>
        <w:spacing w:after="240"/>
        <w:contextualSpacing/>
      </w:pPr>
      <w:r w:rsidRPr="00973337">
        <w:t>Project's inclusion in a municipal or regional nonmotorized transportation system plan (see qualifying requirements)</w:t>
      </w:r>
      <w:r w:rsidR="00736DC9">
        <w:t>.</w:t>
      </w:r>
    </w:p>
    <w:p w14:paraId="1B577511" w14:textId="7D33B772" w:rsidR="00404DD3" w:rsidRPr="00973337" w:rsidRDefault="00404DD3" w:rsidP="00404DD3">
      <w:pPr>
        <w:pStyle w:val="ListNumbered"/>
        <w:spacing w:after="240"/>
        <w:contextualSpacing/>
      </w:pPr>
      <w:r w:rsidRPr="00973337">
        <w:t>Extent to which policies or practices of the political subdivision encourage and promote complete streets planning, design, and construction (see criterion 1)</w:t>
      </w:r>
      <w:r w:rsidR="00736DC9">
        <w:t>.</w:t>
      </w:r>
    </w:p>
    <w:p w14:paraId="0532BB43" w14:textId="6F61C087" w:rsidR="00404DD3" w:rsidRPr="00973337" w:rsidRDefault="00404DD3" w:rsidP="00404DD3">
      <w:pPr>
        <w:pStyle w:val="ListNumbered"/>
        <w:spacing w:after="240"/>
        <w:contextualSpacing/>
      </w:pPr>
      <w:r w:rsidRPr="00973337">
        <w:t>Extent to which the project supports connections between communities and to key destinations within a community (see criterion 2)</w:t>
      </w:r>
      <w:r w:rsidR="00736DC9">
        <w:t>.</w:t>
      </w:r>
    </w:p>
    <w:p w14:paraId="0646A1A8" w14:textId="5FD66AB0" w:rsidR="00404DD3" w:rsidRPr="00973337" w:rsidRDefault="00404DD3" w:rsidP="00404DD3">
      <w:pPr>
        <w:pStyle w:val="ListNumbered"/>
        <w:spacing w:after="240"/>
        <w:contextualSpacing/>
      </w:pPr>
      <w:r w:rsidRPr="00973337">
        <w:t>Identified barriers or deficiencies in the nonmotorized transportation system (see criterion 3)</w:t>
      </w:r>
      <w:r w:rsidR="00736DC9">
        <w:t>.</w:t>
      </w:r>
    </w:p>
    <w:p w14:paraId="5EB452DE" w14:textId="407C3376" w:rsidR="00404DD3" w:rsidRPr="00973337" w:rsidRDefault="00404DD3" w:rsidP="00404DD3">
      <w:pPr>
        <w:pStyle w:val="ListNumbered"/>
        <w:spacing w:after="240"/>
        <w:contextualSpacing/>
      </w:pPr>
      <w:r w:rsidRPr="00973337">
        <w:t>Identified safety or health benefits (see criterion 4)</w:t>
      </w:r>
      <w:r w:rsidR="00736DC9">
        <w:t>.</w:t>
      </w:r>
    </w:p>
    <w:p w14:paraId="46DBE843" w14:textId="7B216ABF" w:rsidR="00404DD3" w:rsidRPr="00973337" w:rsidRDefault="00404DD3" w:rsidP="00404DD3">
      <w:pPr>
        <w:pStyle w:val="ListNumbered"/>
        <w:spacing w:after="240"/>
        <w:contextualSpacing/>
      </w:pPr>
      <w:r w:rsidRPr="00973337">
        <w:t>Geographic equity in project benefits, with an emphasis on communities that are historically and currently underrepresented in local or regional planning (see criterion 5; project selection will also consider geographic equity)</w:t>
      </w:r>
      <w:r w:rsidR="00736DC9">
        <w:t>.</w:t>
      </w:r>
    </w:p>
    <w:p w14:paraId="7D6A3577" w14:textId="77777777" w:rsidR="00404DD3" w:rsidRPr="00973337" w:rsidRDefault="00404DD3" w:rsidP="00404DD3">
      <w:pPr>
        <w:pStyle w:val="ListNumbered"/>
        <w:spacing w:after="240"/>
        <w:contextualSpacing/>
      </w:pPr>
      <w:r w:rsidRPr="00973337">
        <w:t>Ability of a grantee to maintain the active transportation infrastructure following project completion (see qualifying requirements).</w:t>
      </w:r>
    </w:p>
    <w:p w14:paraId="6E922258" w14:textId="77777777" w:rsidR="00404DD3" w:rsidRPr="00973337" w:rsidRDefault="00404DD3" w:rsidP="00404DD3">
      <w:r w:rsidRPr="00973337">
        <w:t>The qualifying and scoring criteria for this category are designed to address these requirements.</w:t>
      </w:r>
    </w:p>
    <w:p w14:paraId="773C7D94" w14:textId="77777777" w:rsidR="00404DD3" w:rsidRDefault="00404DD3" w:rsidP="00404DD3">
      <w:pPr>
        <w:pStyle w:val="Heading1"/>
      </w:pPr>
      <w:r>
        <w:t>Examples of Eligible Projects</w:t>
      </w:r>
    </w:p>
    <w:p w14:paraId="66AAA175" w14:textId="77777777" w:rsidR="00404DD3" w:rsidRPr="00973337" w:rsidRDefault="00404DD3" w:rsidP="00404DD3">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p w14:paraId="3B00E7BC" w14:textId="77777777" w:rsidR="00404DD3" w:rsidRPr="00973337" w:rsidRDefault="00404DD3" w:rsidP="00404DD3">
      <w:pPr>
        <w:pStyle w:val="ListBullet"/>
        <w:tabs>
          <w:tab w:val="clear" w:pos="540"/>
          <w:tab w:val="num" w:pos="360"/>
        </w:tabs>
        <w:spacing w:after="240" w:line="259" w:lineRule="auto"/>
        <w:contextualSpacing/>
      </w:pPr>
      <w:r w:rsidRPr="00973337">
        <w:t>Sidewalk construction (single corridor or areawide improvements)</w:t>
      </w:r>
    </w:p>
    <w:p w14:paraId="2CC6F628" w14:textId="77777777" w:rsidR="00404DD3" w:rsidRPr="00973337" w:rsidRDefault="00404DD3" w:rsidP="00404DD3">
      <w:pPr>
        <w:pStyle w:val="ListBullet"/>
        <w:tabs>
          <w:tab w:val="clear" w:pos="540"/>
          <w:tab w:val="num" w:pos="360"/>
        </w:tabs>
        <w:spacing w:after="240" w:line="259" w:lineRule="auto"/>
        <w:contextualSpacing/>
      </w:pPr>
      <w:r w:rsidRPr="00973337">
        <w:t>At-grade pedestrian crossing improvements</w:t>
      </w:r>
    </w:p>
    <w:p w14:paraId="67DE34B8" w14:textId="77777777" w:rsidR="00404DD3" w:rsidRPr="00973337" w:rsidRDefault="00404DD3" w:rsidP="00404DD3">
      <w:pPr>
        <w:pStyle w:val="ListBullet"/>
        <w:tabs>
          <w:tab w:val="clear" w:pos="540"/>
          <w:tab w:val="num" w:pos="360"/>
        </w:tabs>
        <w:spacing w:after="240" w:line="259" w:lineRule="auto"/>
        <w:contextualSpacing/>
      </w:pPr>
      <w:r w:rsidRPr="00973337">
        <w:t>Filling multiple gaps, improving multiple crossings, or making other similar improvements along a corridor</w:t>
      </w:r>
    </w:p>
    <w:p w14:paraId="52996F07" w14:textId="77777777" w:rsidR="00404DD3" w:rsidRPr="00973337" w:rsidRDefault="00404DD3" w:rsidP="00404DD3">
      <w:pPr>
        <w:pStyle w:val="ListBullet"/>
        <w:tabs>
          <w:tab w:val="clear" w:pos="540"/>
          <w:tab w:val="num" w:pos="360"/>
        </w:tabs>
        <w:spacing w:after="240" w:line="259" w:lineRule="auto"/>
        <w:contextualSpacing/>
      </w:pPr>
      <w:r w:rsidRPr="00973337">
        <w:t>ADA improvements</w:t>
      </w:r>
    </w:p>
    <w:p w14:paraId="634546DE" w14:textId="77777777" w:rsidR="00404DD3" w:rsidRPr="00973337" w:rsidRDefault="00404DD3" w:rsidP="00404DD3">
      <w:pPr>
        <w:pStyle w:val="ListBullet"/>
        <w:tabs>
          <w:tab w:val="clear" w:pos="540"/>
          <w:tab w:val="num" w:pos="360"/>
        </w:tabs>
        <w:spacing w:after="240" w:line="259" w:lineRule="auto"/>
        <w:contextualSpacing/>
      </w:pPr>
      <w:r w:rsidRPr="00973337">
        <w:t>Streetscape improvements that encourage walking</w:t>
      </w:r>
    </w:p>
    <w:p w14:paraId="3A14993F" w14:textId="5BC74EB5" w:rsidR="00404DD3" w:rsidRDefault="00404DD3">
      <w:pPr>
        <w:spacing w:after="0"/>
      </w:pPr>
      <w:r>
        <w:br w:type="page"/>
      </w:r>
    </w:p>
    <w:p w14:paraId="0F92EE95" w14:textId="77777777" w:rsidR="00404DD3" w:rsidRDefault="00404DD3" w:rsidP="00404DD3">
      <w:pPr>
        <w:pStyle w:val="ReportTitle"/>
      </w:pPr>
      <w:r>
        <w:lastRenderedPageBreak/>
        <w:t>Active Transportation Planning</w:t>
      </w:r>
    </w:p>
    <w:p w14:paraId="12D78B52" w14:textId="77777777" w:rsidR="00404DD3" w:rsidRPr="00165A3E" w:rsidRDefault="00404DD3" w:rsidP="00404DD3">
      <w:pPr>
        <w:pStyle w:val="Heading1"/>
      </w:pPr>
      <w:r w:rsidRPr="00165A3E">
        <w:t>Prioritizing Criteria and Measures</w:t>
      </w:r>
    </w:p>
    <w:p w14:paraId="72087D50" w14:textId="77777777" w:rsidR="00404DD3" w:rsidRPr="00973337" w:rsidRDefault="00404DD3" w:rsidP="00404DD3">
      <w:pPr>
        <w:rPr>
          <w:b/>
          <w:bCs/>
        </w:rPr>
      </w:pPr>
      <w:r w:rsidRPr="00973337">
        <w:rPr>
          <w:b/>
          <w:bCs/>
        </w:rPr>
        <w:t xml:space="preserve">2050 TPP Goal: </w:t>
      </w:r>
      <w:r w:rsidRPr="00973337">
        <w:t>Our Region is Dynamic and Resilient</w:t>
      </w:r>
    </w:p>
    <w:p w14:paraId="4ABC4C90" w14:textId="77777777" w:rsidR="00404DD3" w:rsidRPr="00973337" w:rsidRDefault="00404DD3" w:rsidP="00404DD3">
      <w:pPr>
        <w:pStyle w:val="ListBullet"/>
        <w:numPr>
          <w:ilvl w:val="0"/>
          <w:numId w:val="0"/>
        </w:numPr>
        <w:rPr>
          <w:rFonts w:eastAsia="Arial" w:cs="Arial"/>
        </w:rPr>
      </w:pPr>
      <w:r w:rsidRPr="00973337">
        <w:rPr>
          <w:rFonts w:eastAsia="Arial" w:cs="Arial"/>
          <w:b/>
          <w:bCs/>
        </w:rPr>
        <w:t xml:space="preserve">2050 TPP Objectives or Policies: </w:t>
      </w:r>
    </w:p>
    <w:p w14:paraId="34D21CBC" w14:textId="77777777" w:rsidR="00404DD3" w:rsidRPr="00973337" w:rsidRDefault="00404DD3" w:rsidP="00ED5DF6">
      <w:pPr>
        <w:pStyle w:val="ListBullet"/>
        <w:numPr>
          <w:ilvl w:val="0"/>
          <w:numId w:val="47"/>
        </w:numPr>
        <w:tabs>
          <w:tab w:val="num" w:pos="360"/>
        </w:tabs>
        <w:spacing w:after="240" w:line="259" w:lineRule="auto"/>
        <w:contextualSpacing/>
        <w:rPr>
          <w:rFonts w:eastAsia="Arial" w:cs="Arial"/>
        </w:rPr>
      </w:pPr>
      <w:r w:rsidRPr="00973337">
        <w:rPr>
          <w:rFonts w:eastAsia="Arial" w:cs="Arial"/>
        </w:rPr>
        <w:t xml:space="preserve">People have better travel options </w:t>
      </w:r>
      <w:proofErr w:type="gramStart"/>
      <w:r w:rsidRPr="00973337">
        <w:rPr>
          <w:rFonts w:eastAsia="Arial" w:cs="Arial"/>
        </w:rPr>
        <w:t>beyond</w:t>
      </w:r>
      <w:proofErr w:type="gramEnd"/>
      <w:r w:rsidRPr="00973337">
        <w:rPr>
          <w:rFonts w:eastAsia="Arial" w:cs="Arial"/>
        </w:rPr>
        <w:t xml:space="preserve"> driving alone to meet their daily needs, with a focus on improving travel times, reliability, directness, and affordability.</w:t>
      </w:r>
    </w:p>
    <w:p w14:paraId="7BA52BC4" w14:textId="77777777" w:rsidR="00404DD3" w:rsidRPr="00973337" w:rsidRDefault="00404DD3" w:rsidP="00ED5DF6">
      <w:pPr>
        <w:pStyle w:val="ListBullet"/>
        <w:numPr>
          <w:ilvl w:val="0"/>
          <w:numId w:val="47"/>
        </w:numPr>
        <w:tabs>
          <w:tab w:val="num" w:pos="360"/>
        </w:tabs>
        <w:spacing w:after="240" w:line="259" w:lineRule="auto"/>
        <w:contextualSpacing/>
        <w:rPr>
          <w:rFonts w:eastAsia="Arial" w:cs="Arial"/>
        </w:rPr>
      </w:pPr>
      <w:r w:rsidRPr="00973337">
        <w:rPr>
          <w:rFonts w:eastAsia="Arial" w:cs="Arial"/>
        </w:rPr>
        <w:t>People do not die or face life-changing injuries when using any form of transportation.</w:t>
      </w:r>
    </w:p>
    <w:p w14:paraId="0A8CE562" w14:textId="77777777" w:rsidR="00404DD3" w:rsidRPr="00973337" w:rsidRDefault="00404DD3" w:rsidP="00ED5DF6">
      <w:pPr>
        <w:pStyle w:val="ListBullet"/>
        <w:numPr>
          <w:ilvl w:val="0"/>
          <w:numId w:val="47"/>
        </w:numPr>
        <w:tabs>
          <w:tab w:val="num" w:pos="360"/>
        </w:tabs>
        <w:spacing w:after="240" w:line="259" w:lineRule="auto"/>
        <w:contextualSpacing/>
        <w:rPr>
          <w:rFonts w:eastAsia="Arial" w:cs="Arial"/>
        </w:rPr>
      </w:pPr>
      <w:r w:rsidRPr="00973337">
        <w:rPr>
          <w:rFonts w:eastAsia="Arial" w:cs="Arial"/>
        </w:rPr>
        <w:t>People can increase physical activity with more opportunities to walk, roll, or bike.</w:t>
      </w:r>
    </w:p>
    <w:p w14:paraId="5A4898B9" w14:textId="6E350A2D" w:rsidR="00404DD3" w:rsidRPr="00973337" w:rsidRDefault="00404DD3" w:rsidP="00404DD3">
      <w:r w:rsidRPr="00973337">
        <w:rPr>
          <w:b/>
          <w:bCs/>
        </w:rPr>
        <w:t xml:space="preserve">Category Definition: </w:t>
      </w:r>
      <w:r w:rsidRPr="00973337">
        <w:t xml:space="preserve">The Active Transportation Planning application category intends to help communities establish plans to identify and prioritize future investments in active transportation and ensure eligibility for future active transportation infrastructure funding. </w:t>
      </w:r>
      <w:r w:rsidR="00FA1F00">
        <w:rPr>
          <w:i/>
          <w:iCs/>
        </w:rPr>
        <w:t>This category is funded with regional active transportation sales tax funding.</w:t>
      </w:r>
    </w:p>
    <w:p w14:paraId="2E17CCEC" w14:textId="77777777" w:rsidR="00404DD3" w:rsidRDefault="00404DD3" w:rsidP="00404DD3">
      <w:pPr>
        <w:pStyle w:val="Heading1"/>
      </w:pPr>
      <w:r w:rsidRPr="00D068AB">
        <w:t>Scoring</w:t>
      </w:r>
    </w:p>
    <w:tbl>
      <w:tblPr>
        <w:tblStyle w:val="ListTable3-Accent1"/>
        <w:tblW w:w="5000" w:type="pct"/>
        <w:tblLayout w:type="fixed"/>
        <w:tblLook w:val="04A0" w:firstRow="1" w:lastRow="0" w:firstColumn="1" w:lastColumn="0" w:noHBand="0" w:noVBand="1"/>
      </w:tblPr>
      <w:tblGrid>
        <w:gridCol w:w="8727"/>
        <w:gridCol w:w="1333"/>
      </w:tblGrid>
      <w:tr w:rsidR="00404DD3" w:rsidRPr="00404DD3" w14:paraId="34BE9CD8" w14:textId="77777777" w:rsidTr="000651D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8727" w:type="dxa"/>
            <w:tcBorders>
              <w:top w:val="single" w:sz="8" w:space="0" w:color="4F81BD" w:themeColor="accent1"/>
              <w:left w:val="single" w:sz="8" w:space="0" w:color="4F81BD" w:themeColor="accent1"/>
              <w:bottom w:val="single" w:sz="18" w:space="0" w:color="4F81BD" w:themeColor="accent1"/>
            </w:tcBorders>
            <w:tcMar>
              <w:left w:w="108" w:type="dxa"/>
              <w:right w:w="108" w:type="dxa"/>
            </w:tcMar>
            <w:vAlign w:val="bottom"/>
          </w:tcPr>
          <w:p w14:paraId="0B09FC52" w14:textId="77777777" w:rsidR="00404DD3" w:rsidRPr="00404DD3" w:rsidRDefault="00404DD3" w:rsidP="00404DD3">
            <w:pPr>
              <w:spacing w:before="120" w:after="0"/>
              <w:rPr>
                <w:rFonts w:ascii="Arial Nova" w:hAnsi="Arial Nova" w:cs="Arial"/>
                <w:color w:val="FFFFFF" w:themeColor="background1"/>
                <w:szCs w:val="32"/>
              </w:rPr>
            </w:pPr>
            <w:r w:rsidRPr="00404DD3">
              <w:rPr>
                <w:rFonts w:ascii="Arial Nova" w:hAnsi="Arial Nova" w:cs="Arial"/>
                <w:color w:val="FFFFFF" w:themeColor="background1"/>
                <w:szCs w:val="32"/>
              </w:rPr>
              <w:t>Criteria and Measures</w:t>
            </w:r>
          </w:p>
        </w:tc>
        <w:tc>
          <w:tcPr>
            <w:tcW w:w="1333" w:type="dxa"/>
            <w:tcBorders>
              <w:top w:val="single" w:sz="8" w:space="0" w:color="4F81BD" w:themeColor="accent1"/>
              <w:left w:val="nil"/>
              <w:bottom w:val="single" w:sz="18" w:space="0" w:color="4F81BD" w:themeColor="accent1"/>
              <w:right w:val="single" w:sz="8" w:space="0" w:color="4F81BD" w:themeColor="accent1"/>
            </w:tcBorders>
            <w:tcMar>
              <w:left w:w="108" w:type="dxa"/>
              <w:right w:w="108" w:type="dxa"/>
            </w:tcMar>
            <w:vAlign w:val="bottom"/>
          </w:tcPr>
          <w:p w14:paraId="19217CD4" w14:textId="77777777" w:rsidR="00404DD3" w:rsidRPr="00404DD3" w:rsidRDefault="00404DD3" w:rsidP="00404DD3">
            <w:pPr>
              <w:spacing w:before="120" w:after="0"/>
              <w:jc w:val="center"/>
              <w:cnfStyle w:val="100000000000" w:firstRow="1" w:lastRow="0" w:firstColumn="0" w:lastColumn="0" w:oddVBand="0" w:evenVBand="0" w:oddHBand="0" w:evenHBand="0" w:firstRowFirstColumn="0" w:firstRowLastColumn="0" w:lastRowFirstColumn="0" w:lastRowLastColumn="0"/>
              <w:rPr>
                <w:rFonts w:ascii="Arial Nova" w:hAnsi="Arial Nova" w:cs="Arial"/>
                <w:color w:val="FFFFFF" w:themeColor="background1"/>
                <w:szCs w:val="32"/>
              </w:rPr>
            </w:pPr>
            <w:r w:rsidRPr="00404DD3">
              <w:rPr>
                <w:rFonts w:ascii="Arial Nova" w:hAnsi="Arial Nova" w:cs="Arial"/>
                <w:color w:val="FFFFFF" w:themeColor="background1"/>
                <w:szCs w:val="32"/>
              </w:rPr>
              <w:t>%</w:t>
            </w:r>
          </w:p>
        </w:tc>
      </w:tr>
      <w:tr w:rsidR="00404DD3" w:rsidRPr="00404DD3" w14:paraId="012413F7"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nil"/>
            </w:tcBorders>
            <w:tcMar>
              <w:left w:w="108" w:type="dxa"/>
              <w:right w:w="108" w:type="dxa"/>
            </w:tcMar>
          </w:tcPr>
          <w:p w14:paraId="0F93DD6B" w14:textId="77777777" w:rsidR="00404DD3" w:rsidRPr="00404DD3" w:rsidRDefault="00404DD3" w:rsidP="00404DD3">
            <w:pPr>
              <w:numPr>
                <w:ilvl w:val="0"/>
                <w:numId w:val="26"/>
              </w:numPr>
              <w:spacing w:after="0"/>
              <w:contextualSpacing/>
              <w:rPr>
                <w:rFonts w:eastAsia="Arial"/>
              </w:rPr>
            </w:pPr>
            <w:r w:rsidRPr="00404DD3">
              <w:t>Proposed Planning Effort</w:t>
            </w:r>
          </w:p>
        </w:tc>
        <w:tc>
          <w:tcPr>
            <w:tcW w:w="1333" w:type="dxa"/>
            <w:tcBorders>
              <w:top w:val="single" w:sz="18" w:space="0" w:color="4F81BD" w:themeColor="accent1"/>
              <w:left w:val="nil"/>
              <w:bottom w:val="nil"/>
              <w:right w:val="single" w:sz="8" w:space="0" w:color="4F81BD" w:themeColor="accent1"/>
            </w:tcBorders>
            <w:tcMar>
              <w:left w:w="108" w:type="dxa"/>
              <w:right w:w="108" w:type="dxa"/>
            </w:tcMar>
          </w:tcPr>
          <w:p w14:paraId="36A20845"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50</w:t>
            </w:r>
          </w:p>
        </w:tc>
      </w:tr>
      <w:tr w:rsidR="00404DD3" w:rsidRPr="00404DD3" w14:paraId="01796D3D"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nil"/>
              <w:left w:val="single" w:sz="8" w:space="0" w:color="4F81BD" w:themeColor="accent1"/>
              <w:bottom w:val="single" w:sz="18" w:space="0" w:color="4F81BD" w:themeColor="accent1"/>
            </w:tcBorders>
            <w:tcMar>
              <w:left w:w="108" w:type="dxa"/>
              <w:right w:w="108" w:type="dxa"/>
            </w:tcMar>
          </w:tcPr>
          <w:p w14:paraId="601E967D" w14:textId="77777777" w:rsidR="00404DD3" w:rsidRPr="00585F37" w:rsidRDefault="00404DD3" w:rsidP="00404DD3">
            <w:pPr>
              <w:spacing w:after="0"/>
              <w:ind w:left="720"/>
              <w:contextualSpacing/>
              <w:rPr>
                <w:b w:val="0"/>
                <w:bCs w:val="0"/>
              </w:rPr>
            </w:pPr>
            <w:r w:rsidRPr="00585F37">
              <w:rPr>
                <w:b w:val="0"/>
                <w:bCs w:val="0"/>
              </w:rPr>
              <w:t>Measure A – Project identification (including connection to key destinations; gaps, barriers, or deficiencies addressed)</w:t>
            </w:r>
          </w:p>
          <w:p w14:paraId="10801640" w14:textId="77777777" w:rsidR="00404DD3" w:rsidRPr="00404DD3" w:rsidRDefault="00404DD3" w:rsidP="00404DD3">
            <w:pPr>
              <w:spacing w:after="0"/>
              <w:ind w:left="720"/>
              <w:contextualSpacing/>
            </w:pPr>
            <w:r w:rsidRPr="00585F37">
              <w:rPr>
                <w:b w:val="0"/>
                <w:bCs w:val="0"/>
              </w:rPr>
              <w:t>Measure B – Complete streets planning, design, and construction</w:t>
            </w:r>
          </w:p>
        </w:tc>
        <w:tc>
          <w:tcPr>
            <w:tcW w:w="1333" w:type="dxa"/>
            <w:tcBorders>
              <w:top w:val="nil"/>
              <w:left w:val="nil"/>
              <w:bottom w:val="single" w:sz="18" w:space="0" w:color="4F81BD" w:themeColor="accent1"/>
              <w:right w:val="single" w:sz="8" w:space="0" w:color="4F81BD" w:themeColor="accent1"/>
            </w:tcBorders>
            <w:tcMar>
              <w:left w:w="108" w:type="dxa"/>
              <w:right w:w="108" w:type="dxa"/>
            </w:tcMar>
          </w:tcPr>
          <w:p w14:paraId="1CE25637"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40</w:t>
            </w:r>
          </w:p>
          <w:p w14:paraId="321241F7"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10</w:t>
            </w:r>
          </w:p>
        </w:tc>
      </w:tr>
      <w:tr w:rsidR="00404DD3" w:rsidRPr="00404DD3" w14:paraId="5894F7DC"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nil"/>
            </w:tcBorders>
            <w:tcMar>
              <w:left w:w="108" w:type="dxa"/>
              <w:right w:w="108" w:type="dxa"/>
            </w:tcMar>
          </w:tcPr>
          <w:p w14:paraId="2A605BBC" w14:textId="77777777" w:rsidR="00404DD3" w:rsidRPr="00404DD3" w:rsidRDefault="00404DD3" w:rsidP="00404DD3">
            <w:pPr>
              <w:numPr>
                <w:ilvl w:val="0"/>
                <w:numId w:val="26"/>
              </w:numPr>
              <w:spacing w:after="0"/>
              <w:contextualSpacing/>
              <w:rPr>
                <w:rFonts w:eastAsia="Arial"/>
              </w:rPr>
            </w:pPr>
            <w:r w:rsidRPr="00404DD3">
              <w:t>Safety</w:t>
            </w:r>
          </w:p>
        </w:tc>
        <w:tc>
          <w:tcPr>
            <w:tcW w:w="1333" w:type="dxa"/>
            <w:tcBorders>
              <w:top w:val="single" w:sz="18" w:space="0" w:color="4F81BD" w:themeColor="accent1"/>
              <w:left w:val="nil"/>
              <w:bottom w:val="nil"/>
              <w:right w:val="single" w:sz="8" w:space="0" w:color="4F81BD" w:themeColor="accent1"/>
            </w:tcBorders>
            <w:tcMar>
              <w:left w:w="108" w:type="dxa"/>
              <w:right w:w="108" w:type="dxa"/>
            </w:tcMar>
          </w:tcPr>
          <w:p w14:paraId="4DABF2F8"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30</w:t>
            </w:r>
          </w:p>
        </w:tc>
      </w:tr>
      <w:tr w:rsidR="00404DD3" w:rsidRPr="00404DD3" w14:paraId="78D1E730"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nil"/>
              <w:left w:val="single" w:sz="8" w:space="0" w:color="4F81BD" w:themeColor="accent1"/>
              <w:bottom w:val="single" w:sz="18" w:space="0" w:color="4F81BD" w:themeColor="accent1"/>
            </w:tcBorders>
            <w:tcMar>
              <w:left w:w="108" w:type="dxa"/>
              <w:right w:w="108" w:type="dxa"/>
            </w:tcMar>
          </w:tcPr>
          <w:p w14:paraId="65F59A52" w14:textId="77777777" w:rsidR="00404DD3" w:rsidRPr="00585F37" w:rsidRDefault="00404DD3" w:rsidP="00404DD3">
            <w:pPr>
              <w:spacing w:after="0"/>
              <w:ind w:left="720"/>
              <w:contextualSpacing/>
              <w:rPr>
                <w:b w:val="0"/>
                <w:bCs w:val="0"/>
              </w:rPr>
            </w:pPr>
            <w:r w:rsidRPr="00585F37">
              <w:rPr>
                <w:b w:val="0"/>
                <w:bCs w:val="0"/>
              </w:rPr>
              <w:t>Measure A – Safety improvements for people outside of vehicles</w:t>
            </w:r>
          </w:p>
        </w:tc>
        <w:tc>
          <w:tcPr>
            <w:tcW w:w="1333" w:type="dxa"/>
            <w:tcBorders>
              <w:top w:val="nil"/>
              <w:left w:val="nil"/>
              <w:bottom w:val="single" w:sz="18" w:space="0" w:color="4F81BD" w:themeColor="accent1"/>
              <w:right w:val="single" w:sz="8" w:space="0" w:color="4F81BD" w:themeColor="accent1"/>
            </w:tcBorders>
            <w:tcMar>
              <w:left w:w="108" w:type="dxa"/>
              <w:right w:w="108" w:type="dxa"/>
            </w:tcMar>
          </w:tcPr>
          <w:p w14:paraId="1A2E2F1B"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rPr>
            </w:pPr>
            <w:r w:rsidRPr="00404DD3">
              <w:rPr>
                <w:rFonts w:eastAsiaTheme="minorHAnsi" w:cs="Arial"/>
              </w:rPr>
              <w:t>30</w:t>
            </w:r>
          </w:p>
        </w:tc>
      </w:tr>
      <w:tr w:rsidR="00404DD3" w:rsidRPr="00404DD3" w14:paraId="1C6D7D23"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single" w:sz="18" w:space="0" w:color="4F81BD" w:themeColor="accent1"/>
            </w:tcBorders>
            <w:tcMar>
              <w:left w:w="108" w:type="dxa"/>
              <w:right w:w="108" w:type="dxa"/>
            </w:tcMar>
          </w:tcPr>
          <w:p w14:paraId="279F081C" w14:textId="77777777" w:rsidR="00404DD3" w:rsidRPr="00404DD3" w:rsidRDefault="00404DD3" w:rsidP="00404DD3">
            <w:pPr>
              <w:numPr>
                <w:ilvl w:val="0"/>
                <w:numId w:val="26"/>
              </w:numPr>
              <w:spacing w:after="0"/>
              <w:contextualSpacing/>
              <w:rPr>
                <w:rFonts w:eastAsia="Arial"/>
              </w:rPr>
            </w:pPr>
            <w:r w:rsidRPr="00404DD3">
              <w:t>Community Considerations</w:t>
            </w:r>
          </w:p>
          <w:p w14:paraId="1B06F4C3" w14:textId="77777777" w:rsidR="00404DD3" w:rsidRPr="00585F37" w:rsidRDefault="00404DD3" w:rsidP="00404DD3">
            <w:pPr>
              <w:spacing w:after="0"/>
              <w:ind w:left="720"/>
              <w:contextualSpacing/>
              <w:rPr>
                <w:rFonts w:eastAsia="Arial"/>
                <w:b w:val="0"/>
                <w:bCs w:val="0"/>
              </w:rPr>
            </w:pPr>
            <w:r w:rsidRPr="00585F37">
              <w:rPr>
                <w:b w:val="0"/>
                <w:bCs w:val="0"/>
              </w:rPr>
              <w:t>Measure A – Community Considerations</w:t>
            </w:r>
          </w:p>
        </w:tc>
        <w:tc>
          <w:tcPr>
            <w:tcW w:w="1333" w:type="dxa"/>
            <w:tcBorders>
              <w:top w:val="single" w:sz="18" w:space="0" w:color="4F81BD" w:themeColor="accent1"/>
              <w:left w:val="nil"/>
              <w:bottom w:val="single" w:sz="18" w:space="0" w:color="4F81BD" w:themeColor="accent1"/>
              <w:right w:val="single" w:sz="8" w:space="0" w:color="4F81BD" w:themeColor="accent1"/>
            </w:tcBorders>
            <w:tcMar>
              <w:left w:w="108" w:type="dxa"/>
              <w:right w:w="108" w:type="dxa"/>
            </w:tcMar>
          </w:tcPr>
          <w:p w14:paraId="74E8A777" w14:textId="77777777" w:rsidR="00404DD3" w:rsidRPr="00404DD3" w:rsidRDefault="00404DD3" w:rsidP="00404DD3">
            <w:pPr>
              <w:widowControl w:val="0"/>
              <w:tabs>
                <w:tab w:val="left" w:pos="900"/>
              </w:tabs>
              <w:spacing w:after="0"/>
              <w:jc w:val="center"/>
              <w:cnfStyle w:val="000000100000" w:firstRow="0" w:lastRow="0" w:firstColumn="0" w:lastColumn="0" w:oddVBand="0" w:evenVBand="0" w:oddHBand="1" w:evenHBand="0" w:firstRowFirstColumn="0" w:firstRowLastColumn="0" w:lastRowFirstColumn="0" w:lastRowLastColumn="0"/>
              <w:rPr>
                <w:rFonts w:eastAsiaTheme="minorHAnsi" w:cs="Arial"/>
                <w:b/>
                <w:bCs/>
              </w:rPr>
            </w:pPr>
            <w:r w:rsidRPr="00404DD3">
              <w:rPr>
                <w:rFonts w:eastAsiaTheme="minorHAnsi" w:cs="Arial"/>
                <w:b/>
                <w:bCs/>
              </w:rPr>
              <w:t>20</w:t>
            </w:r>
          </w:p>
        </w:tc>
      </w:tr>
      <w:tr w:rsidR="00404DD3" w:rsidRPr="00404DD3" w14:paraId="5D4D16BC"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single" w:sz="8" w:space="0" w:color="4F81BD" w:themeColor="accent1"/>
            </w:tcBorders>
            <w:tcMar>
              <w:left w:w="108" w:type="dxa"/>
              <w:right w:w="108" w:type="dxa"/>
            </w:tcMar>
          </w:tcPr>
          <w:p w14:paraId="2F6679C3" w14:textId="77777777" w:rsidR="00404DD3" w:rsidRPr="00404DD3" w:rsidRDefault="00404DD3" w:rsidP="00404DD3">
            <w:pPr>
              <w:spacing w:after="0"/>
            </w:pPr>
            <w:r w:rsidRPr="00404DD3">
              <w:rPr>
                <w:rFonts w:eastAsia="Arial"/>
              </w:rPr>
              <w:t>Total</w:t>
            </w:r>
          </w:p>
        </w:tc>
        <w:tc>
          <w:tcPr>
            <w:tcW w:w="1333" w:type="dxa"/>
            <w:tcBorders>
              <w:top w:val="single" w:sz="18" w:space="0" w:color="4F81BD" w:themeColor="accent1"/>
              <w:left w:val="nil"/>
              <w:bottom w:val="single" w:sz="8" w:space="0" w:color="4F81BD" w:themeColor="accent1"/>
              <w:right w:val="single" w:sz="8" w:space="0" w:color="4F81BD" w:themeColor="accent1"/>
            </w:tcBorders>
            <w:tcMar>
              <w:left w:w="108" w:type="dxa"/>
              <w:right w:w="108" w:type="dxa"/>
            </w:tcMar>
          </w:tcPr>
          <w:p w14:paraId="095A03B6" w14:textId="77777777" w:rsidR="00404DD3" w:rsidRPr="00404DD3" w:rsidRDefault="00404DD3" w:rsidP="00404DD3">
            <w:pPr>
              <w:widowControl w:val="0"/>
              <w:tabs>
                <w:tab w:val="left" w:pos="900"/>
              </w:tabs>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b/>
                <w:bCs/>
              </w:rPr>
            </w:pPr>
            <w:r w:rsidRPr="00404DD3">
              <w:rPr>
                <w:rFonts w:eastAsiaTheme="minorHAnsi" w:cs="Arial"/>
                <w:b/>
                <w:bCs/>
              </w:rPr>
              <w:t xml:space="preserve">100 </w:t>
            </w:r>
          </w:p>
        </w:tc>
      </w:tr>
    </w:tbl>
    <w:p w14:paraId="4C2EB373" w14:textId="77777777" w:rsidR="00404DD3" w:rsidRPr="00973337" w:rsidRDefault="00404DD3" w:rsidP="00404DD3">
      <w:r w:rsidRPr="00973337">
        <w:t>Selected projects in this category will be funded through the Regional Active Transportation Sales Tax, and as such, project selection must be based on:</w:t>
      </w:r>
    </w:p>
    <w:p w14:paraId="36A723E3" w14:textId="7C26AA8E" w:rsidR="00404DD3" w:rsidRPr="00973337" w:rsidRDefault="00404DD3" w:rsidP="00404DD3">
      <w:pPr>
        <w:pStyle w:val="ListNumbered"/>
        <w:numPr>
          <w:ilvl w:val="0"/>
          <w:numId w:val="32"/>
        </w:numPr>
        <w:spacing w:after="240"/>
        <w:contextualSpacing/>
      </w:pPr>
      <w:r w:rsidRPr="00973337">
        <w:t>Project's inclusion in a municipal or regional nonmotorized transportation system plan (see qualifying requirements)</w:t>
      </w:r>
      <w:r w:rsidR="001B07AC">
        <w:t>.</w:t>
      </w:r>
    </w:p>
    <w:p w14:paraId="45187E87" w14:textId="675CEF45" w:rsidR="00404DD3" w:rsidRPr="00973337" w:rsidRDefault="00404DD3" w:rsidP="00404DD3">
      <w:pPr>
        <w:pStyle w:val="ListNumbered"/>
        <w:spacing w:after="240"/>
        <w:contextualSpacing/>
      </w:pPr>
      <w:r w:rsidRPr="00973337">
        <w:t>Extent to which policies or practices of the political subdivision encourage and promote complete streets planning, design, and construction (see criterion 1B)</w:t>
      </w:r>
      <w:r w:rsidR="001B07AC">
        <w:t>.</w:t>
      </w:r>
    </w:p>
    <w:p w14:paraId="57BACA52" w14:textId="798E284B" w:rsidR="00404DD3" w:rsidRPr="00973337" w:rsidRDefault="00404DD3" w:rsidP="00404DD3">
      <w:pPr>
        <w:pStyle w:val="ListNumbered"/>
        <w:spacing w:after="240"/>
        <w:contextualSpacing/>
      </w:pPr>
      <w:r w:rsidRPr="00973337">
        <w:t>Extent to which the project supports connections between communities and to key destinations within a community (see criterion 1A)</w:t>
      </w:r>
      <w:r w:rsidR="001B07AC">
        <w:t>.</w:t>
      </w:r>
    </w:p>
    <w:p w14:paraId="33F09E5B" w14:textId="07F265B8" w:rsidR="00404DD3" w:rsidRPr="00973337" w:rsidRDefault="00404DD3" w:rsidP="00404DD3">
      <w:pPr>
        <w:pStyle w:val="ListNumbered"/>
        <w:spacing w:after="240"/>
        <w:contextualSpacing/>
      </w:pPr>
      <w:r w:rsidRPr="00973337">
        <w:t>Identified barriers or deficiencies in the nonmotorized transportation system (see criterion 1A)</w:t>
      </w:r>
      <w:r w:rsidR="001B07AC">
        <w:t>.</w:t>
      </w:r>
    </w:p>
    <w:p w14:paraId="30F7D87C" w14:textId="48D7963F" w:rsidR="00404DD3" w:rsidRPr="00973337" w:rsidRDefault="00404DD3" w:rsidP="00404DD3">
      <w:pPr>
        <w:pStyle w:val="ListNumbered"/>
        <w:spacing w:after="240"/>
        <w:contextualSpacing/>
      </w:pPr>
      <w:r w:rsidRPr="00973337">
        <w:t>Identified safety or health benefits (see criterion 2)</w:t>
      </w:r>
      <w:r w:rsidR="001B07AC">
        <w:t>.</w:t>
      </w:r>
    </w:p>
    <w:p w14:paraId="2F38D534" w14:textId="2ECDA405" w:rsidR="00404DD3" w:rsidRPr="00973337" w:rsidRDefault="00404DD3" w:rsidP="00404DD3">
      <w:pPr>
        <w:pStyle w:val="ListNumbered"/>
        <w:spacing w:after="240"/>
        <w:contextualSpacing/>
      </w:pPr>
      <w:r w:rsidRPr="00973337">
        <w:t>Geographic equity in project benefits, with an emphasis on communities that are historically and currently underrepresented in local or regional planning (see criterion 3; project selection will also consider geographic equity)</w:t>
      </w:r>
      <w:r w:rsidR="001B07AC">
        <w:t>.</w:t>
      </w:r>
    </w:p>
    <w:p w14:paraId="325802A9" w14:textId="77777777" w:rsidR="00404DD3" w:rsidRPr="00973337" w:rsidRDefault="00404DD3" w:rsidP="00404DD3">
      <w:pPr>
        <w:pStyle w:val="ListNumbered"/>
        <w:spacing w:after="240"/>
        <w:contextualSpacing/>
      </w:pPr>
      <w:r w:rsidRPr="00973337">
        <w:t>Ability of a grantee to maintain the active transportation infrastructure following project completion (see qualifying requirements).</w:t>
      </w:r>
    </w:p>
    <w:p w14:paraId="756ACDE8" w14:textId="77777777" w:rsidR="00404DD3" w:rsidRPr="00973337" w:rsidRDefault="00404DD3" w:rsidP="00404DD3">
      <w:r w:rsidRPr="00973337">
        <w:t>The qualifying and scoring criteria for this category are designed to identify planning projects that will address these requirements.</w:t>
      </w:r>
    </w:p>
    <w:p w14:paraId="1D6A262F" w14:textId="77777777" w:rsidR="00404DD3" w:rsidRDefault="00404DD3" w:rsidP="00404DD3">
      <w:pPr>
        <w:pStyle w:val="Heading1"/>
      </w:pPr>
      <w:r>
        <w:lastRenderedPageBreak/>
        <w:t>Examples of Eligible Projects</w:t>
      </w:r>
    </w:p>
    <w:p w14:paraId="0C4797F1" w14:textId="77777777" w:rsidR="00404DD3" w:rsidRPr="00973337" w:rsidRDefault="00404DD3" w:rsidP="00404DD3">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p w14:paraId="319CBB3D" w14:textId="77777777" w:rsidR="00404DD3" w:rsidRPr="00973337" w:rsidRDefault="00404DD3" w:rsidP="00404DD3">
      <w:pPr>
        <w:pStyle w:val="ListParagraph"/>
        <w:numPr>
          <w:ilvl w:val="0"/>
          <w:numId w:val="23"/>
        </w:numPr>
      </w:pPr>
      <w:r w:rsidRPr="00973337">
        <w:t>Active transportation plans</w:t>
      </w:r>
    </w:p>
    <w:p w14:paraId="64C7DFF6" w14:textId="77777777" w:rsidR="00404DD3" w:rsidRPr="00973337" w:rsidRDefault="00404DD3" w:rsidP="00404DD3">
      <w:pPr>
        <w:pStyle w:val="ListParagraph"/>
        <w:numPr>
          <w:ilvl w:val="0"/>
          <w:numId w:val="23"/>
        </w:numPr>
      </w:pPr>
      <w:r w:rsidRPr="00973337">
        <w:t>Pedestrian system plans</w:t>
      </w:r>
    </w:p>
    <w:p w14:paraId="62E7C12C" w14:textId="77777777" w:rsidR="00404DD3" w:rsidRPr="00973337" w:rsidRDefault="00404DD3" w:rsidP="00404DD3">
      <w:pPr>
        <w:pStyle w:val="ListParagraph"/>
        <w:numPr>
          <w:ilvl w:val="0"/>
          <w:numId w:val="23"/>
        </w:numPr>
      </w:pPr>
      <w:r w:rsidRPr="00973337">
        <w:t>Bicycle system plans</w:t>
      </w:r>
    </w:p>
    <w:p w14:paraId="6FEAA8E5" w14:textId="77777777" w:rsidR="00404DD3" w:rsidRPr="00973337" w:rsidRDefault="00404DD3" w:rsidP="00404DD3">
      <w:pPr>
        <w:pStyle w:val="ListParagraph"/>
        <w:numPr>
          <w:ilvl w:val="0"/>
          <w:numId w:val="23"/>
        </w:numPr>
      </w:pPr>
      <w:r w:rsidRPr="00973337">
        <w:t>Safe Routes to School plans</w:t>
      </w:r>
    </w:p>
    <w:p w14:paraId="185E5952" w14:textId="77777777" w:rsidR="00404DD3" w:rsidRDefault="00404DD3" w:rsidP="00404DD3">
      <w:pPr>
        <w:pStyle w:val="ListParagraph"/>
        <w:numPr>
          <w:ilvl w:val="0"/>
          <w:numId w:val="23"/>
        </w:numPr>
      </w:pPr>
      <w:r w:rsidRPr="00973337">
        <w:t>Comprehensive planning support</w:t>
      </w:r>
    </w:p>
    <w:p w14:paraId="12D5A969" w14:textId="158F0F56" w:rsidR="00791287" w:rsidRPr="00973337" w:rsidRDefault="00337255" w:rsidP="00404DD3">
      <w:pPr>
        <w:pStyle w:val="ListParagraph"/>
        <w:numPr>
          <w:ilvl w:val="0"/>
          <w:numId w:val="23"/>
        </w:numPr>
      </w:pPr>
      <w:r>
        <w:t>Small area/neighborhood active transportation plans</w:t>
      </w:r>
    </w:p>
    <w:p w14:paraId="769569A4" w14:textId="77777777" w:rsidR="00404DD3" w:rsidRPr="00973337" w:rsidRDefault="00404DD3" w:rsidP="00404DD3">
      <w:pPr>
        <w:pStyle w:val="ListParagraph"/>
        <w:numPr>
          <w:ilvl w:val="0"/>
          <w:numId w:val="23"/>
        </w:numPr>
      </w:pPr>
      <w:r w:rsidRPr="00973337">
        <w:t xml:space="preserve">Other </w:t>
      </w:r>
      <w:proofErr w:type="gramStart"/>
      <w:r w:rsidRPr="00973337">
        <w:t>systems</w:t>
      </w:r>
      <w:proofErr w:type="gramEnd"/>
      <w:r w:rsidRPr="00973337">
        <w:t>-level plans related to active transportation</w:t>
      </w:r>
    </w:p>
    <w:p w14:paraId="0823537E" w14:textId="72DDF7B4" w:rsidR="00404DD3" w:rsidRDefault="00404DD3">
      <w:pPr>
        <w:spacing w:after="0"/>
      </w:pPr>
      <w:r>
        <w:br w:type="page"/>
      </w:r>
    </w:p>
    <w:p w14:paraId="5F55B8E2" w14:textId="77777777" w:rsidR="00973337" w:rsidRDefault="00973337" w:rsidP="00973337">
      <w:pPr>
        <w:pStyle w:val="ReportTitle"/>
      </w:pPr>
      <w:r>
        <w:lastRenderedPageBreak/>
        <w:t>Transit Expansion</w:t>
      </w:r>
    </w:p>
    <w:p w14:paraId="76A2B121" w14:textId="77777777" w:rsidR="00973337" w:rsidRPr="00D349FD" w:rsidRDefault="00973337" w:rsidP="00973337">
      <w:pPr>
        <w:pStyle w:val="Heading1"/>
      </w:pPr>
      <w:r w:rsidRPr="00D349FD">
        <w:t>Prioritizing Criteria and Measures</w:t>
      </w:r>
    </w:p>
    <w:p w14:paraId="5A7248EE" w14:textId="6155B4B3" w:rsidR="00973337" w:rsidRPr="00973337" w:rsidRDefault="00973337" w:rsidP="00973337">
      <w:pPr>
        <w:rPr>
          <w:b/>
          <w:bCs/>
        </w:rPr>
      </w:pPr>
      <w:r w:rsidRPr="00973337">
        <w:rPr>
          <w:b/>
          <w:bCs/>
        </w:rPr>
        <w:t xml:space="preserve">2050 TPP Goal: </w:t>
      </w:r>
      <w:r w:rsidRPr="00973337">
        <w:t xml:space="preserve">Our </w:t>
      </w:r>
      <w:r w:rsidR="00316FCF">
        <w:t>r</w:t>
      </w:r>
      <w:r w:rsidRPr="00973337">
        <w:t xml:space="preserve">egion is </w:t>
      </w:r>
      <w:r w:rsidR="00316FCF">
        <w:t>d</w:t>
      </w:r>
      <w:r w:rsidRPr="00973337">
        <w:t xml:space="preserve">ynamic and </w:t>
      </w:r>
      <w:r w:rsidR="00316FCF">
        <w:t>r</w:t>
      </w:r>
      <w:r w:rsidRPr="00973337">
        <w:t>esilient</w:t>
      </w:r>
    </w:p>
    <w:p w14:paraId="6D64BBBC" w14:textId="77777777" w:rsidR="00973337" w:rsidRPr="00973337" w:rsidRDefault="00973337" w:rsidP="00973337">
      <w:pPr>
        <w:spacing w:after="0"/>
        <w:rPr>
          <w:b/>
          <w:bCs/>
        </w:rPr>
      </w:pPr>
      <w:r w:rsidRPr="00973337">
        <w:rPr>
          <w:rFonts w:eastAsia="Arial" w:cs="Arial"/>
          <w:b/>
          <w:bCs/>
        </w:rPr>
        <w:t>2050 TPP Objectives or Policies</w:t>
      </w:r>
      <w:r w:rsidRPr="00973337">
        <w:rPr>
          <w:b/>
          <w:bCs/>
        </w:rPr>
        <w:t>:</w:t>
      </w:r>
    </w:p>
    <w:p w14:paraId="4C82FD01" w14:textId="77777777" w:rsidR="00973337" w:rsidRPr="00973337" w:rsidRDefault="00973337" w:rsidP="00973337">
      <w:pPr>
        <w:pStyle w:val="ListParagraph"/>
        <w:numPr>
          <w:ilvl w:val="0"/>
          <w:numId w:val="34"/>
        </w:numPr>
      </w:pPr>
      <w:r w:rsidRPr="00973337">
        <w:t xml:space="preserve">People have better travel options </w:t>
      </w:r>
      <w:proofErr w:type="gramStart"/>
      <w:r w:rsidRPr="00973337">
        <w:t>beyond</w:t>
      </w:r>
      <w:proofErr w:type="gramEnd"/>
      <w:r w:rsidRPr="00973337">
        <w:t xml:space="preserve"> driving alone to meet their daily needs, with a focus on improving travel times, reliability, directness, and affordability.</w:t>
      </w:r>
    </w:p>
    <w:p w14:paraId="5830E3CE" w14:textId="77777777" w:rsidR="00973337" w:rsidRPr="00973337" w:rsidRDefault="00973337" w:rsidP="00973337">
      <w:pPr>
        <w:pStyle w:val="ListParagraph"/>
        <w:numPr>
          <w:ilvl w:val="0"/>
          <w:numId w:val="34"/>
        </w:numPr>
      </w:pPr>
      <w:r w:rsidRPr="00973337">
        <w:t>People have more predictable travel times when traveling on highways, with a focus on reducing excessive delays.</w:t>
      </w:r>
    </w:p>
    <w:p w14:paraId="66A04ADF" w14:textId="77777777" w:rsidR="00973337" w:rsidRPr="00973337" w:rsidRDefault="00973337" w:rsidP="00973337">
      <w:pPr>
        <w:rPr>
          <w:b/>
          <w:bCs/>
        </w:rPr>
      </w:pPr>
      <w:r w:rsidRPr="00973337">
        <w:rPr>
          <w:b/>
          <w:bCs/>
        </w:rPr>
        <w:t xml:space="preserve">Category Definition: </w:t>
      </w:r>
      <w:r w:rsidRPr="00973337">
        <w:t>The Transit Expansion category seeks to fund new/expanded transit services or facilities with expanded service with the intent of attracting new riders to the system or improving transit coverage with expanded geographic coverage or service at new times of the day or week.</w:t>
      </w:r>
    </w:p>
    <w:p w14:paraId="2E654293" w14:textId="77777777" w:rsidR="00973337" w:rsidRPr="006F5B23" w:rsidRDefault="00973337" w:rsidP="00973337">
      <w:pPr>
        <w:pStyle w:val="Heading1"/>
      </w:pPr>
      <w:r w:rsidRPr="00D068AB">
        <w:t>Scoring</w:t>
      </w:r>
    </w:p>
    <w:tbl>
      <w:tblPr>
        <w:tblStyle w:val="ListTable3-Accent1"/>
        <w:tblW w:w="5000" w:type="pct"/>
        <w:tblLayout w:type="fixed"/>
        <w:tblLook w:val="04A0" w:firstRow="1" w:lastRow="0" w:firstColumn="1" w:lastColumn="0" w:noHBand="0" w:noVBand="1"/>
      </w:tblPr>
      <w:tblGrid>
        <w:gridCol w:w="8735"/>
        <w:gridCol w:w="1335"/>
      </w:tblGrid>
      <w:tr w:rsidR="00973337" w:rsidRPr="00D068AB" w14:paraId="467B38F5" w14:textId="77777777" w:rsidTr="000651D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4" w:space="0" w:color="4F81BD" w:themeColor="accent1"/>
            </w:tcBorders>
          </w:tcPr>
          <w:p w14:paraId="7DB7DB03" w14:textId="77777777" w:rsidR="00973337" w:rsidRPr="00D068AB" w:rsidRDefault="00973337" w:rsidP="000651D8">
            <w:pPr>
              <w:pStyle w:val="TableHeader"/>
              <w:spacing w:before="120" w:after="0"/>
              <w:rPr>
                <w:color w:val="FFFFFF" w:themeColor="background1"/>
              </w:rPr>
            </w:pPr>
            <w:r w:rsidRPr="00AE1D06">
              <w:rPr>
                <w:rFonts w:ascii="Arial" w:hAnsi="Arial"/>
                <w:b/>
                <w:bCs/>
                <w:color w:val="FFFFFF" w:themeColor="background1"/>
                <w:szCs w:val="22"/>
              </w:rPr>
              <w:t>Criteria and Measures</w:t>
            </w:r>
          </w:p>
        </w:tc>
        <w:tc>
          <w:tcPr>
            <w:tcW w:w="1210" w:type="dxa"/>
            <w:tcBorders>
              <w:bottom w:val="single" w:sz="4" w:space="0" w:color="4F81BD" w:themeColor="accent1"/>
            </w:tcBorders>
          </w:tcPr>
          <w:p w14:paraId="115A0B96" w14:textId="77777777" w:rsidR="00973337" w:rsidRPr="00D068AB" w:rsidRDefault="00973337"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045">
              <w:rPr>
                <w:rFonts w:ascii="Arial" w:hAnsi="Arial"/>
                <w:b/>
                <w:bCs/>
                <w:color w:val="FFFFFF" w:themeColor="background1"/>
                <w:szCs w:val="22"/>
              </w:rPr>
              <w:t>%</w:t>
            </w:r>
          </w:p>
        </w:tc>
      </w:tr>
      <w:tr w:rsidR="00973337" w:rsidRPr="00D068AB" w14:paraId="31D0FCE4"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bottom w:val="nil"/>
            </w:tcBorders>
          </w:tcPr>
          <w:p w14:paraId="0044E314" w14:textId="77777777" w:rsidR="00973337" w:rsidRPr="00973337" w:rsidRDefault="00973337" w:rsidP="00973337">
            <w:pPr>
              <w:pStyle w:val="ListParagraph"/>
              <w:numPr>
                <w:ilvl w:val="0"/>
                <w:numId w:val="35"/>
              </w:numPr>
              <w:spacing w:after="0"/>
              <w:rPr>
                <w:b w:val="0"/>
              </w:rPr>
            </w:pPr>
            <w:r w:rsidRPr="00973337">
              <w:t>Service/Facility Provided Must be Effective for Transit Market Area</w:t>
            </w:r>
          </w:p>
        </w:tc>
        <w:tc>
          <w:tcPr>
            <w:tcW w:w="1210" w:type="dxa"/>
            <w:tcBorders>
              <w:bottom w:val="nil"/>
            </w:tcBorders>
          </w:tcPr>
          <w:p w14:paraId="6DC82219"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30</w:t>
            </w:r>
          </w:p>
        </w:tc>
      </w:tr>
      <w:tr w:rsidR="00973337" w:rsidRPr="00D068AB" w14:paraId="4103702F"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39827698" w14:textId="77777777" w:rsidR="00973337" w:rsidRPr="00973337" w:rsidRDefault="00973337" w:rsidP="000651D8">
            <w:pPr>
              <w:pStyle w:val="ListParagraph"/>
              <w:spacing w:after="0"/>
            </w:pPr>
            <w:r w:rsidRPr="00973337">
              <w:rPr>
                <w:b w:val="0"/>
                <w:bCs w:val="0"/>
              </w:rPr>
              <w:t>Measure A – Transit Market Area Alignment</w:t>
            </w:r>
          </w:p>
        </w:tc>
        <w:tc>
          <w:tcPr>
            <w:tcW w:w="1210" w:type="dxa"/>
            <w:tcBorders>
              <w:top w:val="nil"/>
              <w:bottom w:val="nil"/>
            </w:tcBorders>
          </w:tcPr>
          <w:p w14:paraId="5D0C6ECC" w14:textId="77777777" w:rsidR="00973337" w:rsidRPr="00973337" w:rsidRDefault="00973337" w:rsidP="000651D8">
            <w:pPr>
              <w:pStyle w:val="TableTextCurrency"/>
              <w:spacing w:before="0" w:after="0" w:line="259" w:lineRule="auto"/>
              <w:ind w:left="0" w:right="0"/>
              <w:jc w:val="center"/>
              <w:cnfStyle w:val="000000000000" w:firstRow="0" w:lastRow="0" w:firstColumn="0" w:lastColumn="0" w:oddVBand="0" w:evenVBand="0" w:oddHBand="0" w:evenHBand="0" w:firstRowFirstColumn="0" w:firstRowLastColumn="0" w:lastRowFirstColumn="0" w:lastRowLastColumn="0"/>
              <w:rPr>
                <w:color w:val="505150"/>
              </w:rPr>
            </w:pPr>
            <w:r w:rsidRPr="00973337">
              <w:rPr>
                <w:rFonts w:ascii="Arial" w:hAnsi="Arial"/>
                <w:color w:val="505150"/>
                <w:sz w:val="22"/>
                <w:szCs w:val="22"/>
              </w:rPr>
              <w:t>10</w:t>
            </w:r>
          </w:p>
        </w:tc>
      </w:tr>
      <w:tr w:rsidR="00973337" w:rsidRPr="00D068AB" w14:paraId="51B083DF"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3BF3A061" w14:textId="77777777" w:rsidR="00973337" w:rsidRPr="00973337" w:rsidRDefault="00973337" w:rsidP="000651D8">
            <w:pPr>
              <w:pStyle w:val="ListParagraph"/>
              <w:spacing w:after="0"/>
            </w:pPr>
            <w:r w:rsidRPr="00973337">
              <w:rPr>
                <w:b w:val="0"/>
                <w:bCs w:val="0"/>
              </w:rPr>
              <w:t>Measure B – Regional Transit Performance Guidelines</w:t>
            </w:r>
          </w:p>
        </w:tc>
        <w:tc>
          <w:tcPr>
            <w:tcW w:w="1210" w:type="dxa"/>
            <w:tcBorders>
              <w:top w:val="nil"/>
              <w:bottom w:val="single" w:sz="18" w:space="0" w:color="4F81BD" w:themeColor="accent1"/>
            </w:tcBorders>
          </w:tcPr>
          <w:p w14:paraId="0C5C72E5" w14:textId="77777777" w:rsidR="00973337" w:rsidRPr="00973337" w:rsidRDefault="00973337" w:rsidP="000651D8">
            <w:pPr>
              <w:pStyle w:val="TableTextCurrency"/>
              <w:spacing w:before="0" w:after="0" w:line="259" w:lineRule="auto"/>
              <w:ind w:left="0" w:right="0"/>
              <w:jc w:val="center"/>
              <w:cnfStyle w:val="000000100000" w:firstRow="0" w:lastRow="0" w:firstColumn="0" w:lastColumn="0" w:oddVBand="0" w:evenVBand="0" w:oddHBand="1" w:evenHBand="0" w:firstRowFirstColumn="0" w:firstRowLastColumn="0" w:lastRowFirstColumn="0" w:lastRowLastColumn="0"/>
              <w:rPr>
                <w:color w:val="505150"/>
              </w:rPr>
            </w:pPr>
            <w:r w:rsidRPr="00973337">
              <w:rPr>
                <w:rFonts w:ascii="Arial" w:hAnsi="Arial"/>
                <w:color w:val="505150"/>
                <w:sz w:val="22"/>
                <w:szCs w:val="22"/>
              </w:rPr>
              <w:t>20</w:t>
            </w:r>
          </w:p>
        </w:tc>
      </w:tr>
      <w:tr w:rsidR="00973337" w:rsidRPr="00D068AB" w14:paraId="2562A653"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7BBFE331" w14:textId="77777777" w:rsidR="00973337" w:rsidRPr="00973337" w:rsidRDefault="00973337" w:rsidP="00973337">
            <w:pPr>
              <w:pStyle w:val="ListParagraph"/>
              <w:numPr>
                <w:ilvl w:val="0"/>
                <w:numId w:val="35"/>
              </w:numPr>
              <w:spacing w:after="0"/>
              <w:rPr>
                <w:b w:val="0"/>
                <w:bCs w:val="0"/>
              </w:rPr>
            </w:pPr>
            <w:r w:rsidRPr="00973337">
              <w:t>New Ridership</w:t>
            </w:r>
          </w:p>
        </w:tc>
        <w:tc>
          <w:tcPr>
            <w:tcW w:w="1210" w:type="dxa"/>
            <w:tcBorders>
              <w:top w:val="single" w:sz="18" w:space="0" w:color="4F81BD" w:themeColor="accent1"/>
              <w:bottom w:val="nil"/>
            </w:tcBorders>
          </w:tcPr>
          <w:p w14:paraId="0B7BBF32"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973337" w:rsidRPr="00D068AB" w14:paraId="52C032A8"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54938ABA" w14:textId="77777777" w:rsidR="00973337" w:rsidRPr="00973337" w:rsidRDefault="00973337" w:rsidP="000651D8">
            <w:pPr>
              <w:pStyle w:val="ListParagraph"/>
              <w:spacing w:after="0"/>
            </w:pPr>
            <w:r w:rsidRPr="00973337">
              <w:rPr>
                <w:b w:val="0"/>
                <w:bCs w:val="0"/>
              </w:rPr>
              <w:t>Measure A – New annual riders</w:t>
            </w:r>
          </w:p>
        </w:tc>
        <w:tc>
          <w:tcPr>
            <w:tcW w:w="1210" w:type="dxa"/>
            <w:tcBorders>
              <w:top w:val="nil"/>
              <w:bottom w:val="single" w:sz="18" w:space="0" w:color="4F81BD" w:themeColor="accent1"/>
            </w:tcBorders>
          </w:tcPr>
          <w:p w14:paraId="3B3DF3D6"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20</w:t>
            </w:r>
          </w:p>
        </w:tc>
      </w:tr>
      <w:tr w:rsidR="00973337" w:rsidRPr="00D068AB" w14:paraId="4B8DF0B6"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32642FAC" w14:textId="77777777" w:rsidR="00973337" w:rsidRPr="00973337" w:rsidRDefault="00973337" w:rsidP="00973337">
            <w:pPr>
              <w:pStyle w:val="ListParagraph"/>
              <w:numPr>
                <w:ilvl w:val="0"/>
                <w:numId w:val="35"/>
              </w:numPr>
              <w:spacing w:after="0"/>
              <w:rPr>
                <w:b w:val="0"/>
                <w:bCs w:val="0"/>
              </w:rPr>
            </w:pPr>
            <w:r w:rsidRPr="00973337">
              <w:t>New Coverage</w:t>
            </w:r>
          </w:p>
        </w:tc>
        <w:tc>
          <w:tcPr>
            <w:tcW w:w="1210" w:type="dxa"/>
            <w:tcBorders>
              <w:top w:val="single" w:sz="18" w:space="0" w:color="4F81BD" w:themeColor="accent1"/>
              <w:bottom w:val="nil"/>
            </w:tcBorders>
          </w:tcPr>
          <w:p w14:paraId="4885AEC1"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w:t>
            </w:r>
          </w:p>
        </w:tc>
      </w:tr>
      <w:tr w:rsidR="00973337" w:rsidRPr="00D068AB" w14:paraId="682EC8F3"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1F5864B7" w14:textId="77777777" w:rsidR="00973337" w:rsidRPr="00973337" w:rsidRDefault="00973337" w:rsidP="000651D8">
            <w:pPr>
              <w:pStyle w:val="ListParagraph"/>
              <w:spacing w:after="0"/>
            </w:pPr>
            <w:r w:rsidRPr="00973337">
              <w:rPr>
                <w:b w:val="0"/>
                <w:bCs w:val="0"/>
              </w:rPr>
              <w:t>Measure A – New service hours by population within service area</w:t>
            </w:r>
          </w:p>
        </w:tc>
        <w:tc>
          <w:tcPr>
            <w:tcW w:w="1210" w:type="dxa"/>
            <w:tcBorders>
              <w:top w:val="nil"/>
              <w:bottom w:val="single" w:sz="18" w:space="0" w:color="4F81BD" w:themeColor="accent1"/>
            </w:tcBorders>
          </w:tcPr>
          <w:p w14:paraId="1D1C77DB"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10</w:t>
            </w:r>
          </w:p>
        </w:tc>
      </w:tr>
      <w:tr w:rsidR="00973337" w:rsidRPr="00D068AB" w14:paraId="21024BE8"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65DFFB8D" w14:textId="77777777" w:rsidR="00973337" w:rsidRPr="00973337" w:rsidRDefault="00973337" w:rsidP="00973337">
            <w:pPr>
              <w:pStyle w:val="ListParagraph"/>
              <w:numPr>
                <w:ilvl w:val="0"/>
                <w:numId w:val="35"/>
              </w:numPr>
              <w:spacing w:after="0"/>
            </w:pPr>
            <w:r w:rsidRPr="00973337">
              <w:t>Connection to Key Destinations</w:t>
            </w:r>
          </w:p>
        </w:tc>
        <w:tc>
          <w:tcPr>
            <w:tcW w:w="1210" w:type="dxa"/>
            <w:tcBorders>
              <w:top w:val="single" w:sz="18" w:space="0" w:color="4F81BD" w:themeColor="accent1"/>
              <w:bottom w:val="nil"/>
            </w:tcBorders>
          </w:tcPr>
          <w:p w14:paraId="5CC231ED"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w:t>
            </w:r>
          </w:p>
        </w:tc>
      </w:tr>
      <w:tr w:rsidR="00973337" w:rsidRPr="00D068AB" w14:paraId="7BBD6B94"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7026D1F4" w14:textId="77777777" w:rsidR="00973337" w:rsidRPr="00973337" w:rsidRDefault="00973337" w:rsidP="000651D8">
            <w:pPr>
              <w:pStyle w:val="ListParagraph"/>
              <w:spacing w:after="0"/>
            </w:pPr>
            <w:r w:rsidRPr="00973337">
              <w:rPr>
                <w:b w:val="0"/>
                <w:bCs w:val="0"/>
              </w:rPr>
              <w:t>Measure A – Connection to key destinations</w:t>
            </w:r>
          </w:p>
        </w:tc>
        <w:tc>
          <w:tcPr>
            <w:tcW w:w="1210" w:type="dxa"/>
            <w:tcBorders>
              <w:top w:val="nil"/>
              <w:bottom w:val="single" w:sz="18" w:space="0" w:color="4F81BD" w:themeColor="accent1"/>
            </w:tcBorders>
          </w:tcPr>
          <w:p w14:paraId="1C517335"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10</w:t>
            </w:r>
          </w:p>
        </w:tc>
      </w:tr>
      <w:tr w:rsidR="00973337" w:rsidRPr="00D068AB" w14:paraId="4592CDD9"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2CD4F6DE" w14:textId="77777777" w:rsidR="00973337" w:rsidRPr="00973337" w:rsidRDefault="00973337" w:rsidP="00973337">
            <w:pPr>
              <w:pStyle w:val="ListParagraph"/>
              <w:numPr>
                <w:ilvl w:val="0"/>
                <w:numId w:val="35"/>
              </w:numPr>
              <w:spacing w:after="0"/>
              <w:rPr>
                <w:b w:val="0"/>
                <w:bCs w:val="0"/>
              </w:rPr>
            </w:pPr>
            <w:r w:rsidRPr="00973337">
              <w:t>Transit Needs-based Determination</w:t>
            </w:r>
          </w:p>
        </w:tc>
        <w:tc>
          <w:tcPr>
            <w:tcW w:w="1210" w:type="dxa"/>
            <w:tcBorders>
              <w:top w:val="single" w:sz="18" w:space="0" w:color="4F81BD" w:themeColor="accent1"/>
              <w:bottom w:val="nil"/>
            </w:tcBorders>
          </w:tcPr>
          <w:p w14:paraId="010F5DEC"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w:t>
            </w:r>
          </w:p>
        </w:tc>
      </w:tr>
      <w:tr w:rsidR="00973337" w:rsidRPr="00D068AB" w14:paraId="308FC96A"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BEFD0A1" w14:textId="77777777" w:rsidR="00973337" w:rsidRPr="00973337" w:rsidRDefault="00973337" w:rsidP="000651D8">
            <w:pPr>
              <w:pStyle w:val="ListParagraph"/>
              <w:spacing w:after="0"/>
              <w:rPr>
                <w:b w:val="0"/>
                <w:bCs w:val="0"/>
              </w:rPr>
            </w:pPr>
            <w:r w:rsidRPr="00973337">
              <w:rPr>
                <w:b w:val="0"/>
                <w:bCs w:val="0"/>
              </w:rPr>
              <w:t>Measure A – Demographic and roadway delay/reliability data</w:t>
            </w:r>
          </w:p>
        </w:tc>
        <w:tc>
          <w:tcPr>
            <w:tcW w:w="1210" w:type="dxa"/>
            <w:tcBorders>
              <w:top w:val="nil"/>
              <w:bottom w:val="single" w:sz="18" w:space="0" w:color="4F81BD" w:themeColor="accent1"/>
            </w:tcBorders>
          </w:tcPr>
          <w:p w14:paraId="2A238AC7"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10</w:t>
            </w:r>
          </w:p>
        </w:tc>
      </w:tr>
      <w:tr w:rsidR="00973337" w:rsidRPr="00D068AB" w14:paraId="5045157D"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172EA82C" w14:textId="77777777" w:rsidR="00973337" w:rsidRPr="00973337" w:rsidRDefault="00973337" w:rsidP="00973337">
            <w:pPr>
              <w:pStyle w:val="ListParagraph"/>
              <w:numPr>
                <w:ilvl w:val="0"/>
                <w:numId w:val="35"/>
              </w:numPr>
              <w:spacing w:after="0"/>
            </w:pPr>
            <w:r w:rsidRPr="00973337">
              <w:t>Community Considerations</w:t>
            </w:r>
          </w:p>
        </w:tc>
        <w:tc>
          <w:tcPr>
            <w:tcW w:w="1210" w:type="dxa"/>
            <w:tcBorders>
              <w:top w:val="single" w:sz="18" w:space="0" w:color="4F81BD" w:themeColor="accent1"/>
              <w:bottom w:val="nil"/>
            </w:tcBorders>
          </w:tcPr>
          <w:p w14:paraId="73F67074"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973337" w:rsidRPr="00D068AB" w14:paraId="152EE9BB"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0556464A" w14:textId="77777777" w:rsidR="00973337" w:rsidRPr="00973337" w:rsidRDefault="00973337" w:rsidP="000651D8">
            <w:pPr>
              <w:pStyle w:val="ListParagraph"/>
              <w:spacing w:after="0"/>
            </w:pPr>
            <w:r w:rsidRPr="00973337">
              <w:rPr>
                <w:b w:val="0"/>
                <w:bCs w:val="0"/>
              </w:rPr>
              <w:t>Measure A – Community data and context</w:t>
            </w:r>
          </w:p>
        </w:tc>
        <w:tc>
          <w:tcPr>
            <w:tcW w:w="1210" w:type="dxa"/>
            <w:tcBorders>
              <w:top w:val="nil"/>
              <w:bottom w:val="nil"/>
            </w:tcBorders>
            <w:vAlign w:val="center"/>
          </w:tcPr>
          <w:p w14:paraId="59D32B3F"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42FF1C3C"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43C9563E" w14:textId="77777777" w:rsidR="00973337" w:rsidRPr="00973337" w:rsidRDefault="00973337" w:rsidP="000651D8">
            <w:pPr>
              <w:pStyle w:val="ListParagraph"/>
              <w:spacing w:after="0"/>
            </w:pPr>
            <w:r w:rsidRPr="00973337">
              <w:rPr>
                <w:b w:val="0"/>
                <w:bCs w:val="0"/>
              </w:rPr>
              <w:t>Measure B – Community need and future engagement</w:t>
            </w:r>
          </w:p>
        </w:tc>
        <w:tc>
          <w:tcPr>
            <w:tcW w:w="1210" w:type="dxa"/>
            <w:tcBorders>
              <w:top w:val="nil"/>
              <w:bottom w:val="nil"/>
            </w:tcBorders>
            <w:vAlign w:val="center"/>
          </w:tcPr>
          <w:p w14:paraId="1DFE61EA"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00F0FB6A"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4FEAF58C" w14:textId="77777777" w:rsidR="00973337" w:rsidRPr="00973337" w:rsidRDefault="00973337" w:rsidP="000651D8">
            <w:pPr>
              <w:pStyle w:val="ListParagraph"/>
              <w:spacing w:after="0"/>
            </w:pPr>
            <w:r w:rsidRPr="00973337">
              <w:rPr>
                <w:b w:val="0"/>
                <w:bCs w:val="0"/>
              </w:rPr>
              <w:t>Measure C – Community benefits</w:t>
            </w:r>
          </w:p>
        </w:tc>
        <w:tc>
          <w:tcPr>
            <w:tcW w:w="1210" w:type="dxa"/>
            <w:tcBorders>
              <w:top w:val="nil"/>
            </w:tcBorders>
            <w:vAlign w:val="center"/>
          </w:tcPr>
          <w:p w14:paraId="03DAEE34"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214AEFF6"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37E9BFAA" w14:textId="77777777" w:rsidR="00973337" w:rsidRPr="00973337" w:rsidRDefault="00973337" w:rsidP="000651D8">
            <w:pPr>
              <w:spacing w:after="0"/>
            </w:pPr>
            <w:r w:rsidRPr="00973337">
              <w:t>Total</w:t>
            </w:r>
          </w:p>
        </w:tc>
        <w:tc>
          <w:tcPr>
            <w:tcW w:w="1210" w:type="dxa"/>
            <w:tcBorders>
              <w:top w:val="single" w:sz="18" w:space="0" w:color="4F81BD" w:themeColor="accent1"/>
            </w:tcBorders>
          </w:tcPr>
          <w:p w14:paraId="1D6AB268"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100</w:t>
            </w:r>
          </w:p>
        </w:tc>
      </w:tr>
    </w:tbl>
    <w:p w14:paraId="10F7C2F8" w14:textId="77777777" w:rsidR="00973337" w:rsidRDefault="00973337" w:rsidP="00973337">
      <w:pPr>
        <w:pStyle w:val="Heading1"/>
      </w:pPr>
      <w:r w:rsidRPr="00CB61FE">
        <w:t>Examples of Eligible Projects</w:t>
      </w:r>
    </w:p>
    <w:p w14:paraId="0BFF7159" w14:textId="77777777" w:rsidR="00973337" w:rsidRPr="00973337" w:rsidRDefault="00973337" w:rsidP="00973337">
      <w:pPr>
        <w:pStyle w:val="ListBullet"/>
        <w:tabs>
          <w:tab w:val="clear" w:pos="540"/>
        </w:tabs>
        <w:spacing w:after="240"/>
        <w:contextualSpacing/>
      </w:pPr>
      <w:r w:rsidRPr="00973337">
        <w:t>New or expanded transit service, including microtransit and fixed-route service</w:t>
      </w:r>
    </w:p>
    <w:p w14:paraId="61AC2139" w14:textId="77777777" w:rsidR="00973337" w:rsidRPr="00973337" w:rsidRDefault="00973337" w:rsidP="00973337">
      <w:pPr>
        <w:pStyle w:val="ListBullet"/>
        <w:tabs>
          <w:tab w:val="clear" w:pos="540"/>
        </w:tabs>
        <w:spacing w:after="240"/>
        <w:contextualSpacing/>
      </w:pPr>
      <w:r w:rsidRPr="00973337">
        <w:t>Expansion to existing transit centers or customer facilities that are associated with an expected service expansion (expanded transit centers or customer facilities not associated with an expected service expansion should apply in the Transit Customer Experience category)</w:t>
      </w:r>
    </w:p>
    <w:p w14:paraId="238362E6" w14:textId="77777777" w:rsidR="00973337" w:rsidRPr="00973337" w:rsidRDefault="00973337" w:rsidP="00973337">
      <w:pPr>
        <w:pStyle w:val="ListBullet"/>
        <w:tabs>
          <w:tab w:val="clear" w:pos="540"/>
        </w:tabs>
        <w:spacing w:after="240"/>
        <w:contextualSpacing/>
      </w:pPr>
      <w:r w:rsidRPr="00973337">
        <w:t>New or expanded park-and-rides with a service expansion</w:t>
      </w:r>
    </w:p>
    <w:p w14:paraId="24E3B36A" w14:textId="14C132B0" w:rsidR="00973337" w:rsidRPr="00973337" w:rsidRDefault="00973337" w:rsidP="00B27459">
      <w:pPr>
        <w:pStyle w:val="ListBullet"/>
        <w:tabs>
          <w:tab w:val="clear" w:pos="540"/>
        </w:tabs>
        <w:spacing w:after="0"/>
        <w:contextualSpacing/>
        <w:rPr>
          <w:color w:val="171717"/>
        </w:rPr>
      </w:pPr>
      <w:r w:rsidRPr="00973337">
        <w:t>New or expanded transitway facilities, including highway bus rapid transit (BRT), dedicated BRT, light rail transit, and modern streetcar (e.g., new lines, new stations, extended lines, expanded stations)</w:t>
      </w:r>
      <w:r w:rsidRPr="00973337">
        <w:rPr>
          <w:color w:val="171717"/>
        </w:rPr>
        <w:br w:type="page"/>
      </w:r>
    </w:p>
    <w:p w14:paraId="1FA8D4C0" w14:textId="77777777" w:rsidR="00973337" w:rsidRDefault="00973337" w:rsidP="00973337">
      <w:pPr>
        <w:pStyle w:val="ReportTitle"/>
      </w:pPr>
      <w:r>
        <w:lastRenderedPageBreak/>
        <w:t>Transit Customer Experience</w:t>
      </w:r>
    </w:p>
    <w:p w14:paraId="2AF69CD9" w14:textId="77777777" w:rsidR="00973337" w:rsidRDefault="00973337" w:rsidP="00973337">
      <w:pPr>
        <w:pStyle w:val="Heading1"/>
      </w:pPr>
      <w:r>
        <w:t>Prioritizing Criteria and Measures</w:t>
      </w:r>
    </w:p>
    <w:p w14:paraId="51EBF52A" w14:textId="13CEB4CB" w:rsidR="00973337" w:rsidRPr="00973337" w:rsidRDefault="00973337" w:rsidP="00973337">
      <w:pPr>
        <w:rPr>
          <w:b/>
          <w:bCs/>
        </w:rPr>
      </w:pPr>
      <w:r w:rsidRPr="00973337">
        <w:rPr>
          <w:b/>
          <w:bCs/>
        </w:rPr>
        <w:t xml:space="preserve">2050 TPP Goal: </w:t>
      </w:r>
      <w:r w:rsidRPr="00973337">
        <w:t xml:space="preserve">Our </w:t>
      </w:r>
      <w:r w:rsidR="004445C7">
        <w:t>r</w:t>
      </w:r>
      <w:r w:rsidRPr="00973337">
        <w:t xml:space="preserve">egion is </w:t>
      </w:r>
      <w:r w:rsidR="004445C7">
        <w:t>d</w:t>
      </w:r>
      <w:r w:rsidRPr="00973337">
        <w:t xml:space="preserve">ynamic and </w:t>
      </w:r>
      <w:r w:rsidR="004445C7">
        <w:t>r</w:t>
      </w:r>
      <w:r w:rsidRPr="00973337">
        <w:t>esilient</w:t>
      </w:r>
    </w:p>
    <w:p w14:paraId="64293F45" w14:textId="77777777" w:rsidR="00973337" w:rsidRPr="00973337" w:rsidRDefault="00973337" w:rsidP="00973337">
      <w:pPr>
        <w:spacing w:after="0"/>
        <w:rPr>
          <w:b/>
          <w:bCs/>
        </w:rPr>
      </w:pPr>
      <w:r w:rsidRPr="00973337">
        <w:rPr>
          <w:rFonts w:eastAsia="Arial" w:cs="Arial"/>
          <w:b/>
          <w:bCs/>
        </w:rPr>
        <w:t>2050 TPP Objectives or Policies</w:t>
      </w:r>
      <w:r w:rsidRPr="00973337">
        <w:rPr>
          <w:b/>
          <w:bCs/>
        </w:rPr>
        <w:t>:</w:t>
      </w:r>
    </w:p>
    <w:p w14:paraId="1D6D334E" w14:textId="77777777" w:rsidR="00973337" w:rsidRPr="00973337" w:rsidRDefault="00973337" w:rsidP="00973337">
      <w:pPr>
        <w:pStyle w:val="ListBullet"/>
        <w:tabs>
          <w:tab w:val="clear" w:pos="540"/>
        </w:tabs>
        <w:spacing w:after="240"/>
        <w:contextualSpacing/>
      </w:pPr>
      <w:r w:rsidRPr="00973337">
        <w:t xml:space="preserve">People have better travel options </w:t>
      </w:r>
      <w:proofErr w:type="gramStart"/>
      <w:r w:rsidRPr="00973337">
        <w:t>beyond</w:t>
      </w:r>
      <w:proofErr w:type="gramEnd"/>
      <w:r w:rsidRPr="00973337">
        <w:t xml:space="preserve"> driving alone to meet their daily needs, with a focus on improving travel times, reliability, directness, and affordability.</w:t>
      </w:r>
    </w:p>
    <w:p w14:paraId="0155E6C5" w14:textId="77777777" w:rsidR="00973337" w:rsidRPr="00973337" w:rsidRDefault="00973337" w:rsidP="00973337">
      <w:pPr>
        <w:spacing w:after="120"/>
      </w:pPr>
      <w:r w:rsidRPr="00973337">
        <w:rPr>
          <w:b/>
          <w:bCs/>
        </w:rPr>
        <w:t>Category Definition:</w:t>
      </w:r>
      <w:r w:rsidRPr="00973337">
        <w:t xml:space="preserve"> The Transit Customer Experience application category seeks to fund projects that make transit more attractive to existing riders by offering faster and more reliable travel times between destinations or improving </w:t>
      </w:r>
      <w:proofErr w:type="gramStart"/>
      <w:r w:rsidRPr="00973337">
        <w:t>the customer</w:t>
      </w:r>
      <w:proofErr w:type="gramEnd"/>
      <w:r w:rsidRPr="00973337">
        <w:t xml:space="preserve"> experience</w:t>
      </w:r>
      <w:r w:rsidRPr="00973337">
        <w:rPr>
          <w:i/>
          <w:iCs/>
        </w:rPr>
        <w:t xml:space="preserve">. </w:t>
      </w:r>
      <w:r w:rsidRPr="00973337">
        <w:t>The transit projects in this category do not expand transit service.</w:t>
      </w:r>
    </w:p>
    <w:p w14:paraId="5782C638" w14:textId="77777777" w:rsidR="00973337" w:rsidRPr="003A4FE5" w:rsidRDefault="00973337" w:rsidP="00973337">
      <w:pPr>
        <w:pStyle w:val="Heading1"/>
      </w:pPr>
      <w:r w:rsidRPr="00D068AB">
        <w:t>Scoring</w:t>
      </w:r>
    </w:p>
    <w:tbl>
      <w:tblPr>
        <w:tblStyle w:val="ListTable3-Accent1"/>
        <w:tblW w:w="5000" w:type="pct"/>
        <w:tblLayout w:type="fixed"/>
        <w:tblLook w:val="04A0" w:firstRow="1" w:lastRow="0" w:firstColumn="1" w:lastColumn="0" w:noHBand="0" w:noVBand="1"/>
      </w:tblPr>
      <w:tblGrid>
        <w:gridCol w:w="8732"/>
        <w:gridCol w:w="1338"/>
      </w:tblGrid>
      <w:tr w:rsidR="00973337" w:rsidRPr="00D068AB" w14:paraId="26BD10CD" w14:textId="77777777" w:rsidTr="000651D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41" w:type="dxa"/>
            <w:tcBorders>
              <w:bottom w:val="single" w:sz="4" w:space="0" w:color="4F81BD" w:themeColor="accent1"/>
            </w:tcBorders>
          </w:tcPr>
          <w:p w14:paraId="4EFB2417" w14:textId="77777777" w:rsidR="00973337" w:rsidRPr="00D068AB" w:rsidRDefault="00973337" w:rsidP="000651D8">
            <w:pPr>
              <w:pStyle w:val="TableHeader"/>
              <w:spacing w:before="120" w:after="0"/>
              <w:rPr>
                <w:color w:val="FFFFFF" w:themeColor="background1"/>
              </w:rPr>
            </w:pPr>
            <w:r w:rsidRPr="003E7404">
              <w:rPr>
                <w:rFonts w:ascii="Arial" w:hAnsi="Arial"/>
                <w:b/>
                <w:bCs/>
                <w:color w:val="FFFFFF" w:themeColor="background1"/>
                <w:szCs w:val="22"/>
              </w:rPr>
              <w:t>Criteria and Measures</w:t>
            </w:r>
          </w:p>
        </w:tc>
        <w:tc>
          <w:tcPr>
            <w:tcW w:w="1339" w:type="dxa"/>
            <w:tcBorders>
              <w:bottom w:val="single" w:sz="4" w:space="0" w:color="4F81BD" w:themeColor="accent1"/>
            </w:tcBorders>
          </w:tcPr>
          <w:p w14:paraId="13A4722E" w14:textId="77777777" w:rsidR="00973337" w:rsidRPr="00D068AB" w:rsidRDefault="00973337"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41514">
              <w:rPr>
                <w:rFonts w:ascii="Arial" w:hAnsi="Arial"/>
                <w:b/>
                <w:bCs/>
                <w:color w:val="FFFFFF" w:themeColor="background1"/>
                <w:szCs w:val="22"/>
              </w:rPr>
              <w:t>%</w:t>
            </w:r>
          </w:p>
        </w:tc>
      </w:tr>
      <w:tr w:rsidR="00973337" w:rsidRPr="00D068AB" w14:paraId="5244DE14"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bottom w:val="nil"/>
            </w:tcBorders>
          </w:tcPr>
          <w:p w14:paraId="3E3A43E4" w14:textId="77777777" w:rsidR="00973337" w:rsidRPr="00973337" w:rsidRDefault="00973337" w:rsidP="00973337">
            <w:pPr>
              <w:pStyle w:val="ListParagraph"/>
              <w:numPr>
                <w:ilvl w:val="0"/>
                <w:numId w:val="37"/>
              </w:numPr>
              <w:spacing w:after="0"/>
              <w:rPr>
                <w:b w:val="0"/>
                <w:bCs w:val="0"/>
              </w:rPr>
            </w:pPr>
            <w:r w:rsidRPr="00973337">
              <w:t>Ridership Affected</w:t>
            </w:r>
          </w:p>
        </w:tc>
        <w:tc>
          <w:tcPr>
            <w:tcW w:w="1339" w:type="dxa"/>
            <w:tcBorders>
              <w:bottom w:val="nil"/>
            </w:tcBorders>
          </w:tcPr>
          <w:p w14:paraId="5C4B5D3D"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973337" w:rsidRPr="00D068AB" w14:paraId="29CD9D0E"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370874D7" w14:textId="77777777" w:rsidR="00973337" w:rsidRPr="00973337" w:rsidRDefault="00973337" w:rsidP="000651D8">
            <w:pPr>
              <w:pStyle w:val="ListParagraph"/>
              <w:spacing w:after="0"/>
            </w:pPr>
            <w:r w:rsidRPr="00973337">
              <w:rPr>
                <w:b w:val="0"/>
                <w:bCs w:val="0"/>
              </w:rPr>
              <w:t xml:space="preserve">Measure A </w:t>
            </w:r>
            <w:r w:rsidRPr="00973337">
              <w:rPr>
                <w:rFonts w:eastAsia="Arial" w:cs="Arial"/>
                <w:b w:val="0"/>
                <w:bCs w:val="0"/>
              </w:rPr>
              <w:t>–</w:t>
            </w:r>
            <w:r w:rsidRPr="00973337">
              <w:t xml:space="preserve"> </w:t>
            </w:r>
            <w:r w:rsidRPr="00973337">
              <w:rPr>
                <w:b w:val="0"/>
                <w:bCs w:val="0"/>
              </w:rPr>
              <w:t>Total existing annual riders</w:t>
            </w:r>
          </w:p>
        </w:tc>
        <w:tc>
          <w:tcPr>
            <w:tcW w:w="1339" w:type="dxa"/>
            <w:tcBorders>
              <w:top w:val="nil"/>
              <w:bottom w:val="single" w:sz="18" w:space="0" w:color="4F81BD" w:themeColor="accent1"/>
            </w:tcBorders>
          </w:tcPr>
          <w:p w14:paraId="5A773232"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20</w:t>
            </w:r>
          </w:p>
        </w:tc>
      </w:tr>
      <w:tr w:rsidR="00973337" w:rsidRPr="00D068AB" w14:paraId="0E31A6D2"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500EE359" w14:textId="77777777" w:rsidR="00973337" w:rsidRPr="00973337" w:rsidRDefault="00973337" w:rsidP="00973337">
            <w:pPr>
              <w:pStyle w:val="ListParagraph"/>
              <w:numPr>
                <w:ilvl w:val="0"/>
                <w:numId w:val="37"/>
              </w:numPr>
              <w:spacing w:after="0"/>
              <w:rPr>
                <w:b w:val="0"/>
                <w:bCs w:val="0"/>
              </w:rPr>
            </w:pPr>
            <w:r w:rsidRPr="00973337">
              <w:t>Transit Service</w:t>
            </w:r>
          </w:p>
        </w:tc>
        <w:tc>
          <w:tcPr>
            <w:tcW w:w="1339" w:type="dxa"/>
            <w:tcBorders>
              <w:top w:val="single" w:sz="18" w:space="0" w:color="4F81BD" w:themeColor="accent1"/>
              <w:bottom w:val="nil"/>
            </w:tcBorders>
          </w:tcPr>
          <w:p w14:paraId="6634AF30"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973337" w:rsidRPr="00D068AB" w14:paraId="214D821B"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21D98CB9" w14:textId="77777777" w:rsidR="00973337" w:rsidRPr="00973337" w:rsidRDefault="00973337" w:rsidP="000651D8">
            <w:pPr>
              <w:pStyle w:val="ListParagraph"/>
              <w:spacing w:after="0"/>
            </w:pPr>
            <w:r w:rsidRPr="00973337">
              <w:rPr>
                <w:b w:val="0"/>
                <w:bCs w:val="0"/>
              </w:rPr>
              <w:t xml:space="preserve">Measure A </w:t>
            </w:r>
            <w:r w:rsidRPr="00973337">
              <w:rPr>
                <w:rFonts w:eastAsia="Arial" w:cs="Arial"/>
                <w:b w:val="0"/>
                <w:bCs w:val="0"/>
              </w:rPr>
              <w:t>–</w:t>
            </w:r>
            <w:r w:rsidRPr="00973337">
              <w:t xml:space="preserve"> </w:t>
            </w:r>
            <w:r w:rsidRPr="00973337">
              <w:rPr>
                <w:b w:val="0"/>
                <w:bCs w:val="0"/>
              </w:rPr>
              <w:t>Travel times and/or reliability of existing transit service</w:t>
            </w:r>
          </w:p>
        </w:tc>
        <w:tc>
          <w:tcPr>
            <w:tcW w:w="1339" w:type="dxa"/>
            <w:tcBorders>
              <w:top w:val="nil"/>
              <w:bottom w:val="single" w:sz="18" w:space="0" w:color="4F81BD" w:themeColor="accent1"/>
            </w:tcBorders>
          </w:tcPr>
          <w:p w14:paraId="31F86528"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973337">
              <w:rPr>
                <w:rFonts w:ascii="Arial" w:hAnsi="Arial"/>
                <w:color w:val="505150"/>
                <w:sz w:val="22"/>
                <w:szCs w:val="22"/>
              </w:rPr>
              <w:t>15</w:t>
            </w:r>
          </w:p>
        </w:tc>
      </w:tr>
      <w:tr w:rsidR="00973337" w:rsidRPr="00D068AB" w14:paraId="7D65BEC9"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3584FFBB" w14:textId="77777777" w:rsidR="00973337" w:rsidRPr="00973337" w:rsidRDefault="00973337" w:rsidP="00973337">
            <w:pPr>
              <w:pStyle w:val="ListParagraph"/>
              <w:numPr>
                <w:ilvl w:val="0"/>
                <w:numId w:val="37"/>
              </w:numPr>
              <w:spacing w:after="0"/>
              <w:rPr>
                <w:b w:val="0"/>
                <w:bCs w:val="0"/>
              </w:rPr>
            </w:pPr>
            <w:r w:rsidRPr="00973337">
              <w:t>Access to Transit Facilities</w:t>
            </w:r>
          </w:p>
        </w:tc>
        <w:tc>
          <w:tcPr>
            <w:tcW w:w="1339" w:type="dxa"/>
            <w:tcBorders>
              <w:top w:val="single" w:sz="18" w:space="0" w:color="4F81BD" w:themeColor="accent1"/>
              <w:bottom w:val="nil"/>
            </w:tcBorders>
          </w:tcPr>
          <w:p w14:paraId="4A536C12"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973337" w:rsidRPr="00D068AB" w14:paraId="5B869348"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43551377" w14:textId="77777777" w:rsidR="00973337" w:rsidRPr="00973337" w:rsidRDefault="00973337" w:rsidP="000651D8">
            <w:pPr>
              <w:pStyle w:val="ListParagraph"/>
              <w:spacing w:after="0"/>
            </w:pPr>
            <w:r w:rsidRPr="00973337">
              <w:rPr>
                <w:b w:val="0"/>
                <w:bCs w:val="0"/>
              </w:rPr>
              <w:t xml:space="preserve">Measure A </w:t>
            </w:r>
            <w:r w:rsidRPr="00973337">
              <w:rPr>
                <w:rFonts w:eastAsia="Arial" w:cs="Arial"/>
                <w:b w:val="0"/>
                <w:bCs w:val="0"/>
              </w:rPr>
              <w:t>– M</w:t>
            </w:r>
            <w:r w:rsidRPr="00973337">
              <w:rPr>
                <w:b w:val="0"/>
                <w:bCs w:val="0"/>
              </w:rPr>
              <w:t>ultimodal connections and ADA accessibility</w:t>
            </w:r>
          </w:p>
        </w:tc>
        <w:tc>
          <w:tcPr>
            <w:tcW w:w="1339" w:type="dxa"/>
            <w:tcBorders>
              <w:top w:val="nil"/>
              <w:bottom w:val="single" w:sz="18" w:space="0" w:color="4F81BD" w:themeColor="accent1"/>
            </w:tcBorders>
          </w:tcPr>
          <w:p w14:paraId="31D88C2E"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15</w:t>
            </w:r>
          </w:p>
        </w:tc>
      </w:tr>
      <w:tr w:rsidR="00973337" w:rsidRPr="00D068AB" w14:paraId="06D904B1"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54CD1170" w14:textId="77777777" w:rsidR="00973337" w:rsidRPr="00973337" w:rsidRDefault="00973337" w:rsidP="00973337">
            <w:pPr>
              <w:pStyle w:val="ListParagraph"/>
              <w:numPr>
                <w:ilvl w:val="0"/>
                <w:numId w:val="37"/>
              </w:numPr>
              <w:spacing w:after="0"/>
              <w:rPr>
                <w:b w:val="0"/>
                <w:bCs w:val="0"/>
              </w:rPr>
            </w:pPr>
            <w:r w:rsidRPr="00973337">
              <w:t>Safety and Security</w:t>
            </w:r>
          </w:p>
        </w:tc>
        <w:tc>
          <w:tcPr>
            <w:tcW w:w="1339" w:type="dxa"/>
            <w:tcBorders>
              <w:top w:val="single" w:sz="18" w:space="0" w:color="4F81BD" w:themeColor="accent1"/>
              <w:bottom w:val="nil"/>
            </w:tcBorders>
          </w:tcPr>
          <w:p w14:paraId="5A22DF2F"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973337" w:rsidRPr="00D068AB" w14:paraId="7DEEE108"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4E959C05" w14:textId="77777777" w:rsidR="00973337" w:rsidRPr="00973337" w:rsidRDefault="00973337" w:rsidP="000651D8">
            <w:pPr>
              <w:pStyle w:val="ListParagraph"/>
              <w:spacing w:after="0"/>
            </w:pPr>
            <w:r w:rsidRPr="00973337">
              <w:rPr>
                <w:b w:val="0"/>
                <w:bCs w:val="0"/>
              </w:rPr>
              <w:t xml:space="preserve">Measure A </w:t>
            </w:r>
            <w:r w:rsidRPr="00973337">
              <w:rPr>
                <w:rFonts w:eastAsia="Arial" w:cs="Arial"/>
                <w:b w:val="0"/>
                <w:bCs w:val="0"/>
              </w:rPr>
              <w:t>– S</w:t>
            </w:r>
            <w:r w:rsidRPr="00973337">
              <w:rPr>
                <w:b w:val="0"/>
                <w:bCs w:val="0"/>
              </w:rPr>
              <w:t>afety and security for transit riders and people accessing transit facilities</w:t>
            </w:r>
          </w:p>
        </w:tc>
        <w:tc>
          <w:tcPr>
            <w:tcW w:w="1339" w:type="dxa"/>
            <w:tcBorders>
              <w:top w:val="nil"/>
              <w:bottom w:val="single" w:sz="18" w:space="0" w:color="4F81BD" w:themeColor="accent1"/>
            </w:tcBorders>
          </w:tcPr>
          <w:p w14:paraId="5C8F3B9D"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15</w:t>
            </w:r>
          </w:p>
        </w:tc>
      </w:tr>
      <w:tr w:rsidR="00973337" w:rsidRPr="00D068AB" w14:paraId="2724E948"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503BD86E" w14:textId="77777777" w:rsidR="00973337" w:rsidRPr="00973337" w:rsidRDefault="00973337" w:rsidP="00973337">
            <w:pPr>
              <w:pStyle w:val="ListParagraph"/>
              <w:numPr>
                <w:ilvl w:val="0"/>
                <w:numId w:val="37"/>
              </w:numPr>
              <w:spacing w:after="0"/>
              <w:rPr>
                <w:b w:val="0"/>
                <w:bCs w:val="0"/>
              </w:rPr>
            </w:pPr>
            <w:r w:rsidRPr="00973337">
              <w:t>Customer Comfort and Ease of Use</w:t>
            </w:r>
          </w:p>
        </w:tc>
        <w:tc>
          <w:tcPr>
            <w:tcW w:w="1339" w:type="dxa"/>
            <w:tcBorders>
              <w:top w:val="single" w:sz="18" w:space="0" w:color="4F81BD" w:themeColor="accent1"/>
              <w:bottom w:val="nil"/>
            </w:tcBorders>
          </w:tcPr>
          <w:p w14:paraId="22EADCCA"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15</w:t>
            </w:r>
          </w:p>
        </w:tc>
      </w:tr>
      <w:tr w:rsidR="00973337" w:rsidRPr="00D068AB" w14:paraId="209C0FDD"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4E1635F7" w14:textId="77777777" w:rsidR="00973337" w:rsidRPr="00973337" w:rsidRDefault="00973337" w:rsidP="000651D8">
            <w:pPr>
              <w:pStyle w:val="ListParagraph"/>
              <w:spacing w:after="0"/>
            </w:pPr>
            <w:r w:rsidRPr="00973337">
              <w:rPr>
                <w:b w:val="0"/>
                <w:bCs w:val="0"/>
              </w:rPr>
              <w:t xml:space="preserve">Measure A </w:t>
            </w:r>
            <w:r w:rsidRPr="00973337">
              <w:rPr>
                <w:rFonts w:eastAsia="Arial" w:cs="Arial"/>
                <w:b w:val="0"/>
                <w:bCs w:val="0"/>
              </w:rPr>
              <w:t>– C</w:t>
            </w:r>
            <w:r w:rsidRPr="00973337">
              <w:rPr>
                <w:b w:val="0"/>
                <w:bCs w:val="0"/>
              </w:rPr>
              <w:t>omfort for transit riders and overall ease of use of the transit system</w:t>
            </w:r>
          </w:p>
        </w:tc>
        <w:tc>
          <w:tcPr>
            <w:tcW w:w="1339" w:type="dxa"/>
            <w:tcBorders>
              <w:top w:val="nil"/>
              <w:bottom w:val="single" w:sz="18" w:space="0" w:color="4F81BD" w:themeColor="accent1"/>
            </w:tcBorders>
          </w:tcPr>
          <w:p w14:paraId="45211128"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15</w:t>
            </w:r>
          </w:p>
        </w:tc>
      </w:tr>
      <w:tr w:rsidR="00973337" w:rsidRPr="00D068AB" w14:paraId="0C746AD9"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1E194D15" w14:textId="77777777" w:rsidR="00973337" w:rsidRPr="00973337" w:rsidRDefault="00973337" w:rsidP="00973337">
            <w:pPr>
              <w:pStyle w:val="ListParagraph"/>
              <w:numPr>
                <w:ilvl w:val="0"/>
                <w:numId w:val="37"/>
              </w:numPr>
              <w:spacing w:after="0"/>
            </w:pPr>
            <w:r w:rsidRPr="00973337">
              <w:t>Community Considerations</w:t>
            </w:r>
          </w:p>
        </w:tc>
        <w:tc>
          <w:tcPr>
            <w:tcW w:w="1339" w:type="dxa"/>
            <w:tcBorders>
              <w:top w:val="single" w:sz="18" w:space="0" w:color="4F81BD" w:themeColor="accent1"/>
              <w:bottom w:val="nil"/>
            </w:tcBorders>
          </w:tcPr>
          <w:p w14:paraId="4BAED028"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20</w:t>
            </w:r>
          </w:p>
        </w:tc>
      </w:tr>
      <w:tr w:rsidR="00973337" w:rsidRPr="00D068AB" w14:paraId="6D20D425"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nil"/>
            </w:tcBorders>
            <w:vAlign w:val="center"/>
          </w:tcPr>
          <w:p w14:paraId="6933B1EA" w14:textId="77777777" w:rsidR="00973337" w:rsidRPr="00973337" w:rsidRDefault="00973337" w:rsidP="000651D8">
            <w:pPr>
              <w:pStyle w:val="ListParagraph"/>
              <w:spacing w:after="0"/>
            </w:pPr>
            <w:r w:rsidRPr="00973337">
              <w:rPr>
                <w:b w:val="0"/>
                <w:bCs w:val="0"/>
              </w:rPr>
              <w:t>Measure A – Community data and context</w:t>
            </w:r>
          </w:p>
        </w:tc>
        <w:tc>
          <w:tcPr>
            <w:tcW w:w="1339" w:type="dxa"/>
            <w:tcBorders>
              <w:top w:val="nil"/>
              <w:bottom w:val="nil"/>
            </w:tcBorders>
            <w:vAlign w:val="center"/>
          </w:tcPr>
          <w:p w14:paraId="7F3D48DA"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314F7862"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nil"/>
            </w:tcBorders>
            <w:vAlign w:val="center"/>
          </w:tcPr>
          <w:p w14:paraId="1F778083" w14:textId="77777777" w:rsidR="00973337" w:rsidRPr="00973337" w:rsidRDefault="00973337" w:rsidP="000651D8">
            <w:pPr>
              <w:pStyle w:val="ListParagraph"/>
              <w:spacing w:after="0"/>
            </w:pPr>
            <w:r w:rsidRPr="00973337">
              <w:rPr>
                <w:b w:val="0"/>
                <w:bCs w:val="0"/>
              </w:rPr>
              <w:t>Measure B – Community need and future engagement</w:t>
            </w:r>
          </w:p>
        </w:tc>
        <w:tc>
          <w:tcPr>
            <w:tcW w:w="1339" w:type="dxa"/>
            <w:tcBorders>
              <w:top w:val="nil"/>
              <w:bottom w:val="nil"/>
            </w:tcBorders>
            <w:vAlign w:val="center"/>
          </w:tcPr>
          <w:p w14:paraId="4689D8D0"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399F2907"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tcBorders>
            <w:vAlign w:val="center"/>
          </w:tcPr>
          <w:p w14:paraId="50CA12C1" w14:textId="77777777" w:rsidR="00973337" w:rsidRPr="00973337" w:rsidRDefault="00973337" w:rsidP="000651D8">
            <w:pPr>
              <w:pStyle w:val="ListParagraph"/>
              <w:spacing w:after="0"/>
            </w:pPr>
            <w:r w:rsidRPr="00973337">
              <w:rPr>
                <w:b w:val="0"/>
                <w:bCs w:val="0"/>
              </w:rPr>
              <w:t>Measure C – Community benefits</w:t>
            </w:r>
          </w:p>
        </w:tc>
        <w:tc>
          <w:tcPr>
            <w:tcW w:w="1339" w:type="dxa"/>
            <w:tcBorders>
              <w:top w:val="nil"/>
            </w:tcBorders>
            <w:vAlign w:val="center"/>
          </w:tcPr>
          <w:p w14:paraId="733E5711" w14:textId="77777777" w:rsidR="00973337" w:rsidRPr="00973337" w:rsidRDefault="00973337"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973337">
              <w:rPr>
                <w:rFonts w:ascii="Arial" w:hAnsi="Arial"/>
                <w:color w:val="505150"/>
                <w:sz w:val="22"/>
                <w:szCs w:val="22"/>
              </w:rPr>
              <w:t>6.7</w:t>
            </w:r>
          </w:p>
        </w:tc>
      </w:tr>
      <w:tr w:rsidR="00973337" w:rsidRPr="00D068AB" w14:paraId="04D516DA"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tcBorders>
          </w:tcPr>
          <w:p w14:paraId="29F5C324" w14:textId="77777777" w:rsidR="00973337" w:rsidRPr="00973337" w:rsidRDefault="00973337" w:rsidP="000651D8">
            <w:pPr>
              <w:spacing w:after="0"/>
            </w:pPr>
            <w:r w:rsidRPr="00973337">
              <w:t>Total</w:t>
            </w:r>
          </w:p>
        </w:tc>
        <w:tc>
          <w:tcPr>
            <w:tcW w:w="1339" w:type="dxa"/>
            <w:tcBorders>
              <w:top w:val="single" w:sz="18" w:space="0" w:color="4F81BD" w:themeColor="accent1"/>
            </w:tcBorders>
          </w:tcPr>
          <w:p w14:paraId="544C0E80" w14:textId="77777777" w:rsidR="00973337" w:rsidRPr="00973337" w:rsidRDefault="00973337"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973337">
              <w:rPr>
                <w:rFonts w:ascii="Arial" w:hAnsi="Arial"/>
                <w:b/>
                <w:bCs/>
                <w:color w:val="505150"/>
                <w:sz w:val="22"/>
                <w:szCs w:val="22"/>
              </w:rPr>
              <w:t>100</w:t>
            </w:r>
          </w:p>
        </w:tc>
      </w:tr>
    </w:tbl>
    <w:p w14:paraId="39F07719" w14:textId="77777777" w:rsidR="00973337" w:rsidRPr="00174555" w:rsidRDefault="00973337" w:rsidP="00973337">
      <w:pPr>
        <w:pStyle w:val="Heading1"/>
      </w:pPr>
      <w:r w:rsidRPr="00174555">
        <w:t>Examples of Eligible Projects</w:t>
      </w:r>
    </w:p>
    <w:p w14:paraId="5915D3B2" w14:textId="77777777" w:rsidR="00973337" w:rsidRPr="00973337" w:rsidRDefault="00973337" w:rsidP="00973337">
      <w:pPr>
        <w:pStyle w:val="ListBullet"/>
        <w:tabs>
          <w:tab w:val="clear" w:pos="540"/>
        </w:tabs>
        <w:spacing w:after="240"/>
        <w:contextualSpacing/>
      </w:pPr>
      <w:r w:rsidRPr="00973337">
        <w:t>Improved transit centers or passenger facilities (e.g., security, lighting, multimodal access at or within 500 feet of a transit facility with a direct connection to the transit facility) with no expansion of transit service</w:t>
      </w:r>
    </w:p>
    <w:p w14:paraId="356736CC" w14:textId="77777777" w:rsidR="00973337" w:rsidRPr="00973337" w:rsidRDefault="00973337" w:rsidP="00973337">
      <w:pPr>
        <w:pStyle w:val="ListBullet"/>
        <w:tabs>
          <w:tab w:val="clear" w:pos="540"/>
        </w:tabs>
        <w:spacing w:after="240"/>
        <w:contextualSpacing/>
      </w:pPr>
      <w:r w:rsidRPr="00973337">
        <w:rPr>
          <w:rFonts w:eastAsia="Arial" w:cs="Arial"/>
        </w:rPr>
        <w:t xml:space="preserve">New transit centers or customer facilities </w:t>
      </w:r>
      <w:r w:rsidRPr="00973337">
        <w:t xml:space="preserve"> </w:t>
      </w:r>
    </w:p>
    <w:p w14:paraId="53ADEF7F" w14:textId="77777777" w:rsidR="00973337" w:rsidRPr="00973337" w:rsidRDefault="00973337" w:rsidP="00973337">
      <w:pPr>
        <w:pStyle w:val="ListBullet"/>
        <w:tabs>
          <w:tab w:val="clear" w:pos="540"/>
        </w:tabs>
        <w:spacing w:after="240"/>
        <w:contextualSpacing/>
      </w:pPr>
      <w:r w:rsidRPr="00973337">
        <w:rPr>
          <w:rFonts w:eastAsia="Arial" w:cs="Arial"/>
        </w:rPr>
        <w:t>New or expanded park-and-rides without a service expansion</w:t>
      </w:r>
    </w:p>
    <w:p w14:paraId="52C9CE9A" w14:textId="77777777" w:rsidR="00973337" w:rsidRPr="00973337" w:rsidRDefault="00973337" w:rsidP="00973337">
      <w:pPr>
        <w:pStyle w:val="ListBullet"/>
        <w:tabs>
          <w:tab w:val="clear" w:pos="540"/>
        </w:tabs>
        <w:spacing w:after="240"/>
        <w:contextualSpacing/>
      </w:pPr>
      <w:r w:rsidRPr="00973337">
        <w:t>Technology and fare system upgrades</w:t>
      </w:r>
    </w:p>
    <w:p w14:paraId="2307C044" w14:textId="77777777" w:rsidR="00973337" w:rsidRPr="00973337" w:rsidRDefault="00973337" w:rsidP="00973337">
      <w:pPr>
        <w:pStyle w:val="ListBullet"/>
        <w:tabs>
          <w:tab w:val="clear" w:pos="540"/>
        </w:tabs>
        <w:spacing w:after="240"/>
        <w:contextualSpacing/>
        <w:rPr>
          <w:rFonts w:eastAsia="MS PGothic"/>
        </w:rPr>
      </w:pPr>
      <w:r w:rsidRPr="00973337">
        <w:t>Projects that improve travel time or reliability of existing transit service</w:t>
      </w:r>
    </w:p>
    <w:p w14:paraId="600A2D7D" w14:textId="77777777" w:rsidR="00973337" w:rsidRPr="00973337" w:rsidRDefault="00973337" w:rsidP="00973337">
      <w:pPr>
        <w:pStyle w:val="ListBullet"/>
        <w:numPr>
          <w:ilvl w:val="0"/>
          <w:numId w:val="0"/>
        </w:numPr>
        <w:spacing w:after="240"/>
        <w:contextualSpacing/>
        <w:rPr>
          <w:color w:val="171717"/>
        </w:rPr>
      </w:pPr>
    </w:p>
    <w:p w14:paraId="4874A023" w14:textId="25EC28E5" w:rsidR="00973337" w:rsidRDefault="00973337">
      <w:pPr>
        <w:spacing w:after="0"/>
      </w:pPr>
      <w:r>
        <w:br w:type="page"/>
      </w:r>
    </w:p>
    <w:p w14:paraId="2B50582F" w14:textId="77777777" w:rsidR="00973337" w:rsidRDefault="00973337" w:rsidP="00973337">
      <w:pPr>
        <w:pStyle w:val="ReportTitle"/>
      </w:pPr>
      <w:r>
        <w:lastRenderedPageBreak/>
        <w:t>ROADWAY MODERNIZATION</w:t>
      </w:r>
    </w:p>
    <w:p w14:paraId="4453D605" w14:textId="77777777" w:rsidR="00973337" w:rsidRPr="00E7069A" w:rsidRDefault="00973337" w:rsidP="00973337">
      <w:pPr>
        <w:pStyle w:val="Heading1"/>
      </w:pPr>
      <w:r w:rsidRPr="00E7069A">
        <w:t>Prioritizing Criteria and Measures</w:t>
      </w:r>
    </w:p>
    <w:p w14:paraId="5F465A93" w14:textId="434F7875" w:rsidR="00973337" w:rsidRPr="00973337" w:rsidRDefault="00973337" w:rsidP="00973337">
      <w:pPr>
        <w:rPr>
          <w:b/>
          <w:bCs/>
        </w:rPr>
      </w:pPr>
      <w:r w:rsidRPr="00973337">
        <w:rPr>
          <w:b/>
          <w:bCs/>
        </w:rPr>
        <w:t xml:space="preserve">2050 TPP Goal: </w:t>
      </w:r>
      <w:r w:rsidRPr="00973337">
        <w:t xml:space="preserve">Our </w:t>
      </w:r>
      <w:r w:rsidR="004445C7">
        <w:t>r</w:t>
      </w:r>
      <w:r w:rsidRPr="00973337">
        <w:t xml:space="preserve">egion is </w:t>
      </w:r>
      <w:r w:rsidR="004445C7">
        <w:t>d</w:t>
      </w:r>
      <w:r w:rsidRPr="00973337">
        <w:t xml:space="preserve">ynamic and </w:t>
      </w:r>
      <w:r w:rsidR="004445C7">
        <w:t>r</w:t>
      </w:r>
      <w:r w:rsidRPr="00973337">
        <w:t>esilient</w:t>
      </w:r>
    </w:p>
    <w:p w14:paraId="290DB4A9" w14:textId="77777777" w:rsidR="00973337" w:rsidRPr="00973337" w:rsidRDefault="00973337" w:rsidP="00973337">
      <w:pPr>
        <w:spacing w:after="0"/>
        <w:rPr>
          <w:rFonts w:eastAsia="Arial" w:cs="Arial"/>
          <w:b/>
          <w:bCs/>
        </w:rPr>
      </w:pPr>
      <w:r w:rsidRPr="00973337">
        <w:rPr>
          <w:rFonts w:eastAsia="Arial" w:cs="Arial"/>
          <w:b/>
          <w:bCs/>
        </w:rPr>
        <w:t xml:space="preserve">2050 TPP Objectives or Policies: </w:t>
      </w:r>
    </w:p>
    <w:p w14:paraId="0DD88985" w14:textId="77777777" w:rsidR="00973337" w:rsidRPr="00BA341D" w:rsidRDefault="00973337" w:rsidP="00973337">
      <w:pPr>
        <w:pStyle w:val="ListBullet"/>
        <w:numPr>
          <w:ilvl w:val="0"/>
          <w:numId w:val="40"/>
        </w:numPr>
        <w:spacing w:after="240"/>
        <w:contextualSpacing/>
        <w:rPr>
          <w:rFonts w:eastAsia="Arial"/>
        </w:rPr>
      </w:pPr>
      <w:r w:rsidRPr="00BA341D">
        <w:rPr>
          <w:rFonts w:eastAsia="Arial"/>
        </w:rPr>
        <w:t>People do not die or face life-changing injuries when using any form of transportation.</w:t>
      </w:r>
    </w:p>
    <w:p w14:paraId="472069CA" w14:textId="77777777" w:rsidR="00973337" w:rsidRPr="00BA341D" w:rsidRDefault="00973337" w:rsidP="00973337">
      <w:pPr>
        <w:pStyle w:val="ListBullet"/>
        <w:numPr>
          <w:ilvl w:val="0"/>
          <w:numId w:val="40"/>
        </w:numPr>
        <w:spacing w:after="240"/>
        <w:contextualSpacing/>
        <w:rPr>
          <w:rFonts w:eastAsia="Arial"/>
        </w:rPr>
      </w:pPr>
      <w:r w:rsidRPr="00BA341D">
        <w:rPr>
          <w:rFonts w:eastAsia="Arial"/>
        </w:rPr>
        <w:t xml:space="preserve">People have better travel options </w:t>
      </w:r>
      <w:proofErr w:type="gramStart"/>
      <w:r w:rsidRPr="00BA341D">
        <w:rPr>
          <w:rFonts w:eastAsia="Arial"/>
        </w:rPr>
        <w:t>beyond</w:t>
      </w:r>
      <w:proofErr w:type="gramEnd"/>
      <w:r w:rsidRPr="00BA341D">
        <w:rPr>
          <w:rFonts w:eastAsia="Arial"/>
        </w:rPr>
        <w:t xml:space="preserve"> driving alone to meet their daily needs, with a focus on improving travel times, reliability, directness, and affordability.</w:t>
      </w:r>
    </w:p>
    <w:p w14:paraId="4187463F" w14:textId="77777777" w:rsidR="00973337" w:rsidRPr="00BA341D" w:rsidRDefault="00973337" w:rsidP="00973337">
      <w:pPr>
        <w:pStyle w:val="ListBullet"/>
        <w:numPr>
          <w:ilvl w:val="0"/>
          <w:numId w:val="40"/>
        </w:numPr>
        <w:spacing w:after="240"/>
        <w:contextualSpacing/>
        <w:rPr>
          <w:rFonts w:eastAsia="Arial"/>
        </w:rPr>
      </w:pPr>
      <w:r w:rsidRPr="00BA341D">
        <w:rPr>
          <w:rFonts w:eastAsia="Arial"/>
        </w:rPr>
        <w:t>People and businesses can rely on predictable and cost-effective movement of freight and goods.</w:t>
      </w:r>
    </w:p>
    <w:p w14:paraId="7D9EACE2" w14:textId="77777777" w:rsidR="00973337" w:rsidRPr="00BA341D" w:rsidRDefault="00973337" w:rsidP="00973337">
      <w:pPr>
        <w:pStyle w:val="ListBullet"/>
        <w:numPr>
          <w:ilvl w:val="0"/>
          <w:numId w:val="40"/>
        </w:numPr>
        <w:spacing w:after="240"/>
        <w:contextualSpacing/>
        <w:rPr>
          <w:rFonts w:eastAsia="Arial"/>
        </w:rPr>
      </w:pPr>
      <w:r w:rsidRPr="00BA341D">
        <w:rPr>
          <w:rFonts w:eastAsia="Arial"/>
        </w:rPr>
        <w:t>The region’s transportation system protects, restores, and enhances natural systems (air, water, vegetation, and habitat quality).</w:t>
      </w:r>
    </w:p>
    <w:p w14:paraId="4B5B5DAD" w14:textId="77777777" w:rsidR="00973337" w:rsidRPr="00973337" w:rsidRDefault="00973337" w:rsidP="00973337">
      <w:pPr>
        <w:rPr>
          <w:b/>
          <w:bCs/>
        </w:rPr>
      </w:pPr>
      <w:r w:rsidRPr="00973337">
        <w:rPr>
          <w:b/>
          <w:bCs/>
        </w:rPr>
        <w:t xml:space="preserve">Category Definition: </w:t>
      </w:r>
      <w:r w:rsidRPr="00BA341D">
        <w:t>The Roadway Modernization application category seeks to fund projects that implement a complete streets approach in policy, planning, operations and maintenance of roads; emphasize and prioritize the safety of people outside vehicles in the transportation right-of-way; and plan for and invest in first/last mile freight connections between major freight generators and the regional highway system.</w:t>
      </w:r>
    </w:p>
    <w:p w14:paraId="0B258E31" w14:textId="77777777" w:rsidR="00973337" w:rsidRPr="0055253C" w:rsidRDefault="00973337" w:rsidP="00973337">
      <w:pPr>
        <w:pStyle w:val="Heading1"/>
      </w:pPr>
      <w:r>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973337" w:rsidRPr="00973337" w14:paraId="7974E46B" w14:textId="77777777" w:rsidTr="000651D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920" w:type="dxa"/>
            <w:tcBorders>
              <w:top w:val="single" w:sz="6" w:space="0" w:color="auto"/>
              <w:left w:val="single" w:sz="6" w:space="0" w:color="auto"/>
              <w:bottom w:val="single" w:sz="6" w:space="0" w:color="4F81BD" w:themeColor="accent1"/>
            </w:tcBorders>
            <w:tcMar>
              <w:left w:w="90" w:type="dxa"/>
              <w:right w:w="90" w:type="dxa"/>
            </w:tcMar>
          </w:tcPr>
          <w:p w14:paraId="39B6FA09" w14:textId="77777777" w:rsidR="00973337" w:rsidRPr="00973337" w:rsidRDefault="00973337" w:rsidP="00973337">
            <w:pPr>
              <w:spacing w:before="120" w:after="0"/>
              <w:rPr>
                <w:rFonts w:ascii="Arial Nova" w:eastAsia="Arial" w:hAnsi="Arial Nova" w:cs="Arial"/>
                <w:color w:val="FFFFFF" w:themeColor="background1"/>
                <w:szCs w:val="32"/>
              </w:rPr>
            </w:pPr>
            <w:r w:rsidRPr="00973337">
              <w:rPr>
                <w:rFonts w:ascii="Arial Nova" w:hAnsi="Arial Nova" w:cs="Arial"/>
                <w:color w:val="FFFFFF" w:themeColor="background1"/>
                <w:szCs w:val="32"/>
              </w:rPr>
              <w:t>Criteria and Measures</w:t>
            </w:r>
          </w:p>
        </w:tc>
        <w:tc>
          <w:tcPr>
            <w:tcW w:w="1210" w:type="dxa"/>
            <w:tcBorders>
              <w:top w:val="single" w:sz="6" w:space="0" w:color="auto"/>
              <w:bottom w:val="single" w:sz="6" w:space="0" w:color="4F81BD" w:themeColor="accent1"/>
              <w:right w:val="single" w:sz="6" w:space="0" w:color="auto"/>
            </w:tcBorders>
            <w:tcMar>
              <w:left w:w="90" w:type="dxa"/>
              <w:right w:w="90" w:type="dxa"/>
            </w:tcMar>
          </w:tcPr>
          <w:p w14:paraId="3BA30EA0" w14:textId="77777777" w:rsidR="00973337" w:rsidRPr="00973337" w:rsidRDefault="00973337" w:rsidP="00973337">
            <w:pPr>
              <w:spacing w:before="120" w:after="0"/>
              <w:jc w:val="center"/>
              <w:cnfStyle w:val="100000000000" w:firstRow="1" w:lastRow="0" w:firstColumn="0" w:lastColumn="0" w:oddVBand="0" w:evenVBand="0" w:oddHBand="0" w:evenHBand="0" w:firstRowFirstColumn="0" w:firstRowLastColumn="0" w:lastRowFirstColumn="0" w:lastRowLastColumn="0"/>
              <w:rPr>
                <w:rFonts w:ascii="Arial Nova" w:eastAsia="Arial" w:hAnsi="Arial Nova" w:cs="Arial"/>
                <w:color w:val="FFFFFF" w:themeColor="background1"/>
                <w:szCs w:val="32"/>
              </w:rPr>
            </w:pPr>
            <w:r w:rsidRPr="00973337">
              <w:rPr>
                <w:rFonts w:ascii="Arial Nova" w:hAnsi="Arial Nova" w:cs="Arial"/>
                <w:color w:val="FFFFFF" w:themeColor="background1"/>
                <w:szCs w:val="32"/>
              </w:rPr>
              <w:t xml:space="preserve">% </w:t>
            </w:r>
          </w:p>
        </w:tc>
      </w:tr>
      <w:tr w:rsidR="00973337" w:rsidRPr="00973337" w14:paraId="02C4966C"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6" w:space="0" w:color="4F81BD" w:themeColor="accent1"/>
              <w:left w:val="single" w:sz="6" w:space="0" w:color="auto"/>
              <w:bottom w:val="nil"/>
            </w:tcBorders>
            <w:tcMar>
              <w:left w:w="90" w:type="dxa"/>
              <w:right w:w="90" w:type="dxa"/>
            </w:tcMar>
          </w:tcPr>
          <w:p w14:paraId="146BC3FA" w14:textId="77777777" w:rsidR="00973337" w:rsidRPr="00973337" w:rsidRDefault="00973337" w:rsidP="00973337">
            <w:pPr>
              <w:numPr>
                <w:ilvl w:val="0"/>
                <w:numId w:val="38"/>
              </w:numPr>
              <w:spacing w:after="0"/>
              <w:contextualSpacing/>
              <w:rPr>
                <w:rFonts w:eastAsia="Arial" w:cs="Arial"/>
              </w:rPr>
            </w:pPr>
            <w:r w:rsidRPr="00973337">
              <w:t>Multimodal/Complete Streets Connections</w:t>
            </w:r>
          </w:p>
        </w:tc>
        <w:tc>
          <w:tcPr>
            <w:tcW w:w="1210" w:type="dxa"/>
            <w:tcBorders>
              <w:top w:val="single" w:sz="6" w:space="0" w:color="4F81BD" w:themeColor="accent1"/>
              <w:bottom w:val="nil"/>
              <w:right w:val="single" w:sz="6" w:space="0" w:color="auto"/>
            </w:tcBorders>
            <w:tcMar>
              <w:left w:w="90" w:type="dxa"/>
              <w:right w:w="90" w:type="dxa"/>
            </w:tcMar>
          </w:tcPr>
          <w:p w14:paraId="0549FEE7"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973337">
              <w:rPr>
                <w:rFonts w:eastAsia="Arial" w:cs="Arial"/>
                <w:b/>
                <w:bCs/>
              </w:rPr>
              <w:t>40</w:t>
            </w:r>
          </w:p>
        </w:tc>
      </w:tr>
      <w:tr w:rsidR="00973337" w:rsidRPr="00973337" w14:paraId="53AA1CF0"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4ACB710B" w14:textId="77777777" w:rsidR="00973337" w:rsidRPr="00ED5DF6" w:rsidRDefault="00973337" w:rsidP="00973337">
            <w:pPr>
              <w:spacing w:after="0"/>
              <w:ind w:left="720"/>
              <w:contextualSpacing/>
              <w:rPr>
                <w:rFonts w:eastAsia="Arial" w:cs="Arial"/>
                <w:b w:val="0"/>
                <w:bCs w:val="0"/>
              </w:rPr>
            </w:pPr>
            <w:r w:rsidRPr="00ED5DF6">
              <w:rPr>
                <w:b w:val="0"/>
                <w:bCs w:val="0"/>
              </w:rPr>
              <w:t xml:space="preserve">Measure A – New or improved multimodal connections (transit, bicycle, pedestrian, TDM elements) </w:t>
            </w:r>
          </w:p>
        </w:tc>
        <w:tc>
          <w:tcPr>
            <w:tcW w:w="1210" w:type="dxa"/>
            <w:tcBorders>
              <w:top w:val="nil"/>
              <w:bottom w:val="single" w:sz="18" w:space="0" w:color="4F81BD" w:themeColor="accent1"/>
              <w:right w:val="single" w:sz="6" w:space="0" w:color="auto"/>
            </w:tcBorders>
            <w:tcMar>
              <w:left w:w="90" w:type="dxa"/>
              <w:right w:w="90" w:type="dxa"/>
            </w:tcMar>
          </w:tcPr>
          <w:p w14:paraId="79BC9B98"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973337">
              <w:rPr>
                <w:rFonts w:eastAsia="Arial" w:cs="Arial"/>
              </w:rPr>
              <w:t>40</w:t>
            </w:r>
          </w:p>
        </w:tc>
      </w:tr>
      <w:tr w:rsidR="00973337" w:rsidRPr="00973337" w14:paraId="60842121"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402513CE" w14:textId="77777777" w:rsidR="00973337" w:rsidRPr="00973337" w:rsidRDefault="00973337" w:rsidP="00973337">
            <w:pPr>
              <w:numPr>
                <w:ilvl w:val="0"/>
                <w:numId w:val="38"/>
              </w:numPr>
              <w:spacing w:after="0"/>
              <w:contextualSpacing/>
              <w:rPr>
                <w:rFonts w:eastAsia="Arial" w:cs="Arial"/>
              </w:rPr>
            </w:pPr>
            <w:r w:rsidRPr="00973337">
              <w:t>Safety</w:t>
            </w:r>
          </w:p>
        </w:tc>
        <w:tc>
          <w:tcPr>
            <w:tcW w:w="1210" w:type="dxa"/>
            <w:tcBorders>
              <w:top w:val="single" w:sz="18" w:space="0" w:color="4F81BD" w:themeColor="accent1"/>
              <w:bottom w:val="nil"/>
              <w:right w:val="single" w:sz="6" w:space="0" w:color="auto"/>
            </w:tcBorders>
            <w:tcMar>
              <w:left w:w="90" w:type="dxa"/>
              <w:right w:w="90" w:type="dxa"/>
            </w:tcMar>
          </w:tcPr>
          <w:p w14:paraId="69759FE6"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973337">
              <w:rPr>
                <w:rFonts w:eastAsia="Arial" w:cs="Arial"/>
                <w:b/>
                <w:bCs/>
              </w:rPr>
              <w:t>30</w:t>
            </w:r>
          </w:p>
        </w:tc>
      </w:tr>
      <w:tr w:rsidR="00973337" w:rsidRPr="00973337" w14:paraId="249CCC0C"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47F7E261" w14:textId="77777777" w:rsidR="00973337" w:rsidRPr="00ED5DF6" w:rsidRDefault="00973337" w:rsidP="00973337">
            <w:pPr>
              <w:spacing w:after="0"/>
              <w:ind w:left="720"/>
              <w:contextualSpacing/>
              <w:rPr>
                <w:b w:val="0"/>
                <w:bCs w:val="0"/>
              </w:rPr>
            </w:pPr>
            <w:r w:rsidRPr="00ED5DF6">
              <w:rPr>
                <w:b w:val="0"/>
                <w:bCs w:val="0"/>
              </w:rPr>
              <w:t>Measure A – Connection to existing safety planning efforts</w:t>
            </w:r>
          </w:p>
        </w:tc>
        <w:tc>
          <w:tcPr>
            <w:tcW w:w="1210" w:type="dxa"/>
            <w:tcBorders>
              <w:top w:val="nil"/>
              <w:bottom w:val="nil"/>
              <w:right w:val="single" w:sz="6" w:space="0" w:color="auto"/>
            </w:tcBorders>
            <w:tcMar>
              <w:left w:w="90" w:type="dxa"/>
              <w:right w:w="90" w:type="dxa"/>
            </w:tcMar>
          </w:tcPr>
          <w:p w14:paraId="0BB47297"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973337">
              <w:rPr>
                <w:rFonts w:eastAsia="Arial" w:cs="Arial"/>
              </w:rPr>
              <w:t>10</w:t>
            </w:r>
          </w:p>
        </w:tc>
      </w:tr>
      <w:tr w:rsidR="00973337" w:rsidRPr="00973337" w14:paraId="398BB05E"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2E4C9CE3" w14:textId="77777777" w:rsidR="00973337" w:rsidRPr="00ED5DF6" w:rsidRDefault="00973337" w:rsidP="00973337">
            <w:pPr>
              <w:spacing w:after="0"/>
              <w:ind w:left="720"/>
              <w:contextualSpacing/>
              <w:rPr>
                <w:b w:val="0"/>
                <w:bCs w:val="0"/>
              </w:rPr>
            </w:pPr>
            <w:r w:rsidRPr="00ED5DF6">
              <w:rPr>
                <w:rFonts w:eastAsia="Arial" w:cs="Arial"/>
                <w:b w:val="0"/>
                <w:bCs w:val="0"/>
              </w:rPr>
              <w:t xml:space="preserve">Measure B – </w:t>
            </w:r>
            <w:r w:rsidRPr="00ED5DF6">
              <w:rPr>
                <w:b w:val="0"/>
                <w:bCs w:val="0"/>
              </w:rPr>
              <w:t>Safety improvements for people outside of vehicles</w:t>
            </w:r>
            <w:r w:rsidRPr="00ED5DF6">
              <w:rPr>
                <w:rFonts w:eastAsia="Arial" w:cs="Arial"/>
                <w:b w:val="0"/>
                <w:bCs w:val="0"/>
              </w:rPr>
              <w:t xml:space="preserve"> </w:t>
            </w:r>
          </w:p>
        </w:tc>
        <w:tc>
          <w:tcPr>
            <w:tcW w:w="1210" w:type="dxa"/>
            <w:tcBorders>
              <w:top w:val="nil"/>
              <w:bottom w:val="nil"/>
              <w:right w:val="single" w:sz="6" w:space="0" w:color="auto"/>
            </w:tcBorders>
            <w:tcMar>
              <w:left w:w="90" w:type="dxa"/>
              <w:right w:w="90" w:type="dxa"/>
            </w:tcMar>
          </w:tcPr>
          <w:p w14:paraId="4C2B709A" w14:textId="77777777" w:rsidR="00973337" w:rsidRPr="00973337" w:rsidDel="00521819"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973337">
              <w:rPr>
                <w:rFonts w:eastAsia="Arial" w:cs="Arial"/>
              </w:rPr>
              <w:t>10</w:t>
            </w:r>
          </w:p>
        </w:tc>
      </w:tr>
      <w:tr w:rsidR="00973337" w:rsidRPr="00973337" w14:paraId="33C50AD0"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3EF9D99E" w14:textId="37DF2CA3" w:rsidR="00973337" w:rsidRPr="00ED5DF6" w:rsidRDefault="00973337" w:rsidP="00973337">
            <w:pPr>
              <w:spacing w:after="0"/>
              <w:ind w:left="720"/>
              <w:contextualSpacing/>
              <w:rPr>
                <w:rFonts w:eastAsia="Arial" w:cs="Arial"/>
                <w:b w:val="0"/>
                <w:bCs w:val="0"/>
              </w:rPr>
            </w:pPr>
            <w:r w:rsidRPr="00ED5DF6">
              <w:rPr>
                <w:rFonts w:eastAsia="Arial" w:cs="Arial"/>
                <w:b w:val="0"/>
                <w:bCs w:val="0"/>
              </w:rPr>
              <w:t xml:space="preserve">Measure C – </w:t>
            </w:r>
            <w:r w:rsidR="00A91289">
              <w:rPr>
                <w:rFonts w:eastAsia="Arial" w:cs="Arial"/>
                <w:b w:val="0"/>
                <w:bCs w:val="0"/>
              </w:rPr>
              <w:t>Safe System Approach</w:t>
            </w:r>
          </w:p>
        </w:tc>
        <w:tc>
          <w:tcPr>
            <w:tcW w:w="1210" w:type="dxa"/>
            <w:tcBorders>
              <w:top w:val="nil"/>
              <w:bottom w:val="nil"/>
              <w:right w:val="single" w:sz="6" w:space="0" w:color="auto"/>
            </w:tcBorders>
            <w:tcMar>
              <w:left w:w="90" w:type="dxa"/>
              <w:right w:w="90" w:type="dxa"/>
            </w:tcMar>
          </w:tcPr>
          <w:p w14:paraId="121E6994"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973337">
              <w:rPr>
                <w:rFonts w:eastAsia="Arial" w:cs="Arial"/>
              </w:rPr>
              <w:t>10</w:t>
            </w:r>
          </w:p>
        </w:tc>
      </w:tr>
      <w:tr w:rsidR="00973337" w:rsidRPr="00973337" w14:paraId="1C2FE72F"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293CA24F" w14:textId="77777777" w:rsidR="00973337" w:rsidRPr="00973337" w:rsidRDefault="00973337" w:rsidP="00973337">
            <w:pPr>
              <w:numPr>
                <w:ilvl w:val="0"/>
                <w:numId w:val="38"/>
              </w:numPr>
              <w:spacing w:after="0"/>
              <w:contextualSpacing/>
            </w:pPr>
            <w:r w:rsidRPr="00973337">
              <w:t>Freight</w:t>
            </w:r>
          </w:p>
        </w:tc>
        <w:tc>
          <w:tcPr>
            <w:tcW w:w="1210" w:type="dxa"/>
            <w:tcBorders>
              <w:top w:val="single" w:sz="18" w:space="0" w:color="4F81BD" w:themeColor="accent1"/>
              <w:bottom w:val="nil"/>
              <w:right w:val="single" w:sz="6" w:space="0" w:color="auto"/>
            </w:tcBorders>
            <w:tcMar>
              <w:left w:w="90" w:type="dxa"/>
              <w:right w:w="90" w:type="dxa"/>
            </w:tcMar>
          </w:tcPr>
          <w:p w14:paraId="162B74E3"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973337">
              <w:rPr>
                <w:rFonts w:eastAsia="Arial" w:cs="Arial"/>
                <w:b/>
                <w:bCs/>
              </w:rPr>
              <w:t>5</w:t>
            </w:r>
          </w:p>
        </w:tc>
      </w:tr>
      <w:tr w:rsidR="00973337" w:rsidRPr="00973337" w14:paraId="494ACDCC"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74C4AAD2" w14:textId="77777777" w:rsidR="00973337" w:rsidRPr="00ED5DF6" w:rsidRDefault="00973337" w:rsidP="00973337">
            <w:pPr>
              <w:spacing w:after="0"/>
              <w:ind w:left="720"/>
              <w:contextualSpacing/>
              <w:rPr>
                <w:b w:val="0"/>
                <w:bCs w:val="0"/>
              </w:rPr>
            </w:pPr>
            <w:r w:rsidRPr="00ED5DF6">
              <w:rPr>
                <w:b w:val="0"/>
                <w:bCs w:val="0"/>
              </w:rPr>
              <w:t>Measure A – Regional Truck Corridor Study tiers</w:t>
            </w:r>
          </w:p>
        </w:tc>
        <w:tc>
          <w:tcPr>
            <w:tcW w:w="1210" w:type="dxa"/>
            <w:tcBorders>
              <w:top w:val="nil"/>
              <w:bottom w:val="single" w:sz="18" w:space="0" w:color="4F81BD" w:themeColor="accent1"/>
              <w:right w:val="single" w:sz="6" w:space="0" w:color="auto"/>
            </w:tcBorders>
            <w:tcMar>
              <w:left w:w="90" w:type="dxa"/>
              <w:right w:w="90" w:type="dxa"/>
            </w:tcMar>
          </w:tcPr>
          <w:p w14:paraId="37DA35B2"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973337">
              <w:rPr>
                <w:rFonts w:eastAsia="Arial" w:cs="Arial"/>
              </w:rPr>
              <w:t>5</w:t>
            </w:r>
          </w:p>
        </w:tc>
      </w:tr>
      <w:tr w:rsidR="00973337" w:rsidRPr="00973337" w14:paraId="40DD3A27"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55C5E6AC" w14:textId="77777777" w:rsidR="00973337" w:rsidRPr="00973337" w:rsidRDefault="00973337" w:rsidP="00973337">
            <w:pPr>
              <w:numPr>
                <w:ilvl w:val="0"/>
                <w:numId w:val="38"/>
              </w:numPr>
              <w:spacing w:after="0"/>
              <w:contextualSpacing/>
              <w:rPr>
                <w:rFonts w:eastAsia="Arial" w:cs="Arial"/>
              </w:rPr>
            </w:pPr>
            <w:r w:rsidRPr="00973337">
              <w:t>Natural Systems Protection and Restoration</w:t>
            </w:r>
          </w:p>
        </w:tc>
        <w:tc>
          <w:tcPr>
            <w:tcW w:w="1210" w:type="dxa"/>
            <w:tcBorders>
              <w:top w:val="single" w:sz="18" w:space="0" w:color="4F81BD" w:themeColor="accent1"/>
              <w:bottom w:val="nil"/>
              <w:right w:val="single" w:sz="6" w:space="0" w:color="auto"/>
            </w:tcBorders>
            <w:tcMar>
              <w:left w:w="90" w:type="dxa"/>
              <w:right w:w="90" w:type="dxa"/>
            </w:tcMar>
          </w:tcPr>
          <w:p w14:paraId="242F2CFA" w14:textId="77777777" w:rsidR="00973337" w:rsidRPr="00973337" w:rsidRDefault="00973337" w:rsidP="00973337">
            <w:pPr>
              <w:spacing w:after="0" w:line="259" w:lineRule="auto"/>
              <w:jc w:val="center"/>
              <w:cnfStyle w:val="000000100000" w:firstRow="0" w:lastRow="0" w:firstColumn="0" w:lastColumn="0" w:oddVBand="0" w:evenVBand="0" w:oddHBand="1" w:evenHBand="0" w:firstRowFirstColumn="0" w:firstRowLastColumn="0" w:lastRowFirstColumn="0" w:lastRowLastColumn="0"/>
            </w:pPr>
            <w:r w:rsidRPr="00973337">
              <w:rPr>
                <w:rFonts w:eastAsia="Arial" w:cs="Arial"/>
                <w:b/>
                <w:bCs/>
              </w:rPr>
              <w:t>5</w:t>
            </w:r>
          </w:p>
        </w:tc>
      </w:tr>
      <w:tr w:rsidR="00973337" w:rsidRPr="00973337" w14:paraId="6B0D60D1"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020CC104" w14:textId="77777777" w:rsidR="00973337" w:rsidRPr="00ED5DF6" w:rsidRDefault="00973337" w:rsidP="00973337">
            <w:pPr>
              <w:spacing w:after="0"/>
              <w:ind w:left="720"/>
              <w:contextualSpacing/>
              <w:rPr>
                <w:b w:val="0"/>
                <w:bCs w:val="0"/>
              </w:rPr>
            </w:pPr>
            <w:r w:rsidRPr="00ED5DF6">
              <w:rPr>
                <w:b w:val="0"/>
                <w:bCs w:val="0"/>
              </w:rPr>
              <w:t>Measure A – Flood mitigation, stormwater treatment, other environmental benefits, etc.</w:t>
            </w:r>
          </w:p>
        </w:tc>
        <w:tc>
          <w:tcPr>
            <w:tcW w:w="1210" w:type="dxa"/>
            <w:tcBorders>
              <w:top w:val="nil"/>
              <w:bottom w:val="single" w:sz="18" w:space="0" w:color="4F81BD" w:themeColor="accent1"/>
              <w:right w:val="single" w:sz="6" w:space="0" w:color="auto"/>
            </w:tcBorders>
            <w:tcMar>
              <w:left w:w="90" w:type="dxa"/>
              <w:right w:w="90" w:type="dxa"/>
            </w:tcMar>
          </w:tcPr>
          <w:p w14:paraId="3E555792"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973337">
              <w:rPr>
                <w:rFonts w:eastAsia="Arial" w:cs="Arial"/>
              </w:rPr>
              <w:t>5</w:t>
            </w:r>
          </w:p>
        </w:tc>
      </w:tr>
      <w:tr w:rsidR="00973337" w:rsidRPr="00973337" w14:paraId="4CF44AFA"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7B482E87" w14:textId="77777777" w:rsidR="00973337" w:rsidRPr="00973337" w:rsidRDefault="00973337" w:rsidP="00973337">
            <w:pPr>
              <w:numPr>
                <w:ilvl w:val="0"/>
                <w:numId w:val="38"/>
              </w:numPr>
              <w:spacing w:after="0"/>
              <w:contextualSpacing/>
              <w:rPr>
                <w:rFonts w:eastAsia="Arial" w:cs="Arial"/>
              </w:rPr>
            </w:pPr>
            <w:r w:rsidRPr="00973337">
              <w:t>Community Considerations</w:t>
            </w:r>
          </w:p>
        </w:tc>
        <w:tc>
          <w:tcPr>
            <w:tcW w:w="1210" w:type="dxa"/>
            <w:tcBorders>
              <w:top w:val="single" w:sz="18" w:space="0" w:color="4F81BD" w:themeColor="accent1"/>
              <w:bottom w:val="nil"/>
              <w:right w:val="single" w:sz="6" w:space="0" w:color="auto"/>
            </w:tcBorders>
            <w:tcMar>
              <w:left w:w="90" w:type="dxa"/>
              <w:right w:w="90" w:type="dxa"/>
            </w:tcMar>
          </w:tcPr>
          <w:p w14:paraId="1B2DF3F2"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973337">
              <w:rPr>
                <w:rFonts w:eastAsia="Arial" w:cs="Arial"/>
                <w:b/>
                <w:bCs/>
              </w:rPr>
              <w:t>20</w:t>
            </w:r>
          </w:p>
        </w:tc>
      </w:tr>
      <w:tr w:rsidR="00973337" w:rsidRPr="00973337" w14:paraId="6E31359E"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vAlign w:val="center"/>
          </w:tcPr>
          <w:p w14:paraId="52ED3E46" w14:textId="77777777" w:rsidR="00973337" w:rsidRPr="00ED5DF6" w:rsidRDefault="00973337" w:rsidP="00973337">
            <w:pPr>
              <w:spacing w:after="0"/>
              <w:ind w:left="720"/>
              <w:contextualSpacing/>
              <w:rPr>
                <w:b w:val="0"/>
                <w:bCs w:val="0"/>
              </w:rPr>
            </w:pPr>
            <w:r w:rsidRPr="00ED5DF6">
              <w:rPr>
                <w:b w:val="0"/>
                <w:bCs w:val="0"/>
              </w:rPr>
              <w:t>Measure A – Community data and context</w:t>
            </w:r>
          </w:p>
        </w:tc>
        <w:tc>
          <w:tcPr>
            <w:tcW w:w="1210" w:type="dxa"/>
            <w:tcBorders>
              <w:top w:val="nil"/>
              <w:bottom w:val="nil"/>
              <w:right w:val="single" w:sz="6" w:space="0" w:color="auto"/>
            </w:tcBorders>
            <w:tcMar>
              <w:left w:w="90" w:type="dxa"/>
              <w:right w:w="90" w:type="dxa"/>
            </w:tcMar>
            <w:vAlign w:val="center"/>
          </w:tcPr>
          <w:p w14:paraId="727ADB05"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973337">
              <w:t>6.7</w:t>
            </w:r>
          </w:p>
        </w:tc>
      </w:tr>
      <w:tr w:rsidR="00973337" w:rsidRPr="00973337" w14:paraId="01F359E9"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vAlign w:val="center"/>
          </w:tcPr>
          <w:p w14:paraId="70E2D054" w14:textId="77777777" w:rsidR="00973337" w:rsidRPr="00ED5DF6" w:rsidRDefault="00973337" w:rsidP="00973337">
            <w:pPr>
              <w:spacing w:after="0"/>
              <w:ind w:left="720"/>
              <w:contextualSpacing/>
              <w:rPr>
                <w:b w:val="0"/>
                <w:bCs w:val="0"/>
              </w:rPr>
            </w:pPr>
            <w:r w:rsidRPr="00ED5DF6">
              <w:rPr>
                <w:b w:val="0"/>
                <w:bCs w:val="0"/>
              </w:rPr>
              <w:t>Measure B – Community need and future engagement</w:t>
            </w:r>
          </w:p>
        </w:tc>
        <w:tc>
          <w:tcPr>
            <w:tcW w:w="1210" w:type="dxa"/>
            <w:tcBorders>
              <w:top w:val="nil"/>
              <w:bottom w:val="nil"/>
              <w:right w:val="single" w:sz="6" w:space="0" w:color="auto"/>
            </w:tcBorders>
            <w:tcMar>
              <w:left w:w="90" w:type="dxa"/>
              <w:right w:w="90" w:type="dxa"/>
            </w:tcMar>
            <w:vAlign w:val="center"/>
          </w:tcPr>
          <w:p w14:paraId="485F0FF1"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973337">
              <w:t>6.7</w:t>
            </w:r>
          </w:p>
        </w:tc>
      </w:tr>
      <w:tr w:rsidR="00973337" w:rsidRPr="00973337" w14:paraId="15E399F3" w14:textId="77777777" w:rsidTr="000651D8">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6" w:space="0" w:color="4F81BD" w:themeColor="accent1"/>
            </w:tcBorders>
            <w:tcMar>
              <w:left w:w="90" w:type="dxa"/>
              <w:right w:w="90" w:type="dxa"/>
            </w:tcMar>
            <w:vAlign w:val="center"/>
          </w:tcPr>
          <w:p w14:paraId="6FCCEC73" w14:textId="77777777" w:rsidR="00973337" w:rsidRPr="00ED5DF6" w:rsidRDefault="00973337" w:rsidP="00973337">
            <w:pPr>
              <w:spacing w:after="0"/>
              <w:ind w:left="720"/>
              <w:contextualSpacing/>
              <w:rPr>
                <w:b w:val="0"/>
                <w:bCs w:val="0"/>
              </w:rPr>
            </w:pPr>
            <w:r w:rsidRPr="00ED5DF6">
              <w:rPr>
                <w:b w:val="0"/>
                <w:bCs w:val="0"/>
              </w:rPr>
              <w:t>Measure C – Community benefits</w:t>
            </w:r>
          </w:p>
        </w:tc>
        <w:tc>
          <w:tcPr>
            <w:tcW w:w="1210" w:type="dxa"/>
            <w:tcBorders>
              <w:top w:val="nil"/>
              <w:bottom w:val="single" w:sz="6" w:space="0" w:color="4F81BD" w:themeColor="accent1"/>
              <w:right w:val="single" w:sz="6" w:space="0" w:color="auto"/>
            </w:tcBorders>
            <w:tcMar>
              <w:left w:w="90" w:type="dxa"/>
              <w:right w:w="90" w:type="dxa"/>
            </w:tcMar>
            <w:vAlign w:val="center"/>
          </w:tcPr>
          <w:p w14:paraId="2397E973" w14:textId="77777777" w:rsidR="00973337" w:rsidRPr="00973337" w:rsidRDefault="00973337" w:rsidP="00973337">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973337">
              <w:t>6.7</w:t>
            </w:r>
          </w:p>
        </w:tc>
      </w:tr>
      <w:tr w:rsidR="00973337" w:rsidRPr="00973337" w14:paraId="47ACB848" w14:textId="77777777" w:rsidTr="000651D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single" w:sz="6" w:space="0" w:color="auto"/>
            </w:tcBorders>
            <w:tcMar>
              <w:left w:w="90" w:type="dxa"/>
              <w:right w:w="90" w:type="dxa"/>
            </w:tcMar>
          </w:tcPr>
          <w:p w14:paraId="5795C975" w14:textId="77777777" w:rsidR="00973337" w:rsidRPr="00973337" w:rsidRDefault="00973337" w:rsidP="00973337">
            <w:pPr>
              <w:spacing w:after="0"/>
              <w:rPr>
                <w:rFonts w:eastAsia="Arial" w:cs="Arial"/>
              </w:rPr>
            </w:pPr>
            <w:r w:rsidRPr="00973337">
              <w:t>Total</w:t>
            </w:r>
          </w:p>
        </w:tc>
        <w:tc>
          <w:tcPr>
            <w:tcW w:w="1210" w:type="dxa"/>
            <w:tcBorders>
              <w:top w:val="single" w:sz="18" w:space="0" w:color="4F81BD" w:themeColor="accent1"/>
              <w:bottom w:val="single" w:sz="6" w:space="0" w:color="auto"/>
              <w:right w:val="single" w:sz="6" w:space="0" w:color="auto"/>
            </w:tcBorders>
            <w:tcMar>
              <w:left w:w="90" w:type="dxa"/>
              <w:right w:w="90" w:type="dxa"/>
            </w:tcMar>
          </w:tcPr>
          <w:p w14:paraId="285E609A" w14:textId="77777777" w:rsidR="00973337" w:rsidRPr="00973337" w:rsidRDefault="00973337" w:rsidP="0097333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973337">
              <w:rPr>
                <w:rFonts w:eastAsia="Arial" w:cs="Arial"/>
                <w:b/>
                <w:bCs/>
              </w:rPr>
              <w:t>100</w:t>
            </w:r>
          </w:p>
        </w:tc>
      </w:tr>
    </w:tbl>
    <w:p w14:paraId="7E87F309" w14:textId="77777777" w:rsidR="00973337" w:rsidRDefault="00973337" w:rsidP="00973337"/>
    <w:p w14:paraId="40839755" w14:textId="77777777" w:rsidR="00973337" w:rsidRDefault="00973337" w:rsidP="00973337">
      <w:pPr>
        <w:spacing w:after="0"/>
      </w:pPr>
      <w:r>
        <w:br w:type="page"/>
      </w:r>
    </w:p>
    <w:p w14:paraId="1351637C" w14:textId="77777777" w:rsidR="00973337" w:rsidRDefault="00973337" w:rsidP="00973337">
      <w:pPr>
        <w:pStyle w:val="Heading1"/>
      </w:pPr>
      <w:r>
        <w:lastRenderedPageBreak/>
        <w:t>Examples of Eligible Projects</w:t>
      </w:r>
    </w:p>
    <w:p w14:paraId="34624A17" w14:textId="77777777" w:rsidR="00973337" w:rsidRPr="00973337" w:rsidRDefault="00973337" w:rsidP="00973337">
      <w:r w:rsidRPr="00973337">
        <w:t>Please note that this list is not exhaustive and is intended only to provide examples. For questions regarding project eligibility, see the qualifying requirements for this application category and contact the Metropolitan Council.</w:t>
      </w:r>
      <w:r w:rsidRPr="00973337">
        <w:rPr>
          <w:b/>
          <w:bCs/>
        </w:rPr>
        <w:t xml:space="preserve"> </w:t>
      </w:r>
    </w:p>
    <w:p w14:paraId="39C1171E"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Roadway reconstructions that add new or upgrade existing multimodal elements, such as bicycle facilities, new or improved sidewalks, and transit facilities</w:t>
      </w:r>
    </w:p>
    <w:p w14:paraId="3FA0ADAB"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Roadway reconstructions that add raised medians, frontage roads, shoulders, access modifications, or other safety improvements</w:t>
      </w:r>
    </w:p>
    <w:p w14:paraId="123355CF"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Roadway reconstructions that reduce the likelihood of flooding, reduce impervious surface areas, and increase the existing tree canopy</w:t>
      </w:r>
    </w:p>
    <w:p w14:paraId="566FB420"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 xml:space="preserve">Roadway reallocation or lane conversions, such as four- to three-lane conversions </w:t>
      </w:r>
    </w:p>
    <w:p w14:paraId="165E05DF"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 xml:space="preserve">Existing interchange reconstructions/modernizations </w:t>
      </w:r>
    </w:p>
    <w:p w14:paraId="3013F21C" w14:textId="77777777" w:rsidR="00973337" w:rsidRPr="00973337" w:rsidRDefault="00973337" w:rsidP="00973337">
      <w:pPr>
        <w:pStyle w:val="ListBullet"/>
        <w:numPr>
          <w:ilvl w:val="0"/>
          <w:numId w:val="39"/>
        </w:numPr>
        <w:spacing w:after="240"/>
        <w:contextualSpacing/>
        <w:rPr>
          <w:rFonts w:eastAsia="Arial"/>
        </w:rPr>
      </w:pPr>
      <w:r w:rsidRPr="00973337">
        <w:rPr>
          <w:rFonts w:eastAsia="Arial"/>
        </w:rPr>
        <w:t>New alignments that maintain the same number of lanes as the previous alignment</w:t>
      </w:r>
    </w:p>
    <w:p w14:paraId="6FE9A2B2" w14:textId="65444D40" w:rsidR="00973337" w:rsidRDefault="00973337">
      <w:pPr>
        <w:spacing w:after="0"/>
      </w:pPr>
      <w:r>
        <w:br w:type="page"/>
      </w:r>
    </w:p>
    <w:p w14:paraId="3C425733" w14:textId="77777777" w:rsidR="00A02CDC" w:rsidRDefault="00A02CDC" w:rsidP="00A02CDC">
      <w:pPr>
        <w:pStyle w:val="ReportTitle"/>
      </w:pPr>
      <w:r>
        <w:lastRenderedPageBreak/>
        <w:t>Congestion Management Strategies</w:t>
      </w:r>
    </w:p>
    <w:p w14:paraId="58180CA1" w14:textId="77777777" w:rsidR="00A02CDC" w:rsidRPr="00817E90" w:rsidRDefault="00A02CDC" w:rsidP="00A02CDC">
      <w:pPr>
        <w:pStyle w:val="Heading1"/>
      </w:pPr>
      <w:r w:rsidRPr="00817E90">
        <w:t>Prioritizing Criteria and Measures</w:t>
      </w:r>
    </w:p>
    <w:p w14:paraId="2DA952CF" w14:textId="06E3D3DA" w:rsidR="00A02CDC" w:rsidRPr="00A02CDC" w:rsidRDefault="00A02CDC" w:rsidP="00A02CDC">
      <w:pPr>
        <w:pStyle w:val="Caption"/>
        <w:spacing w:after="240" w:line="259" w:lineRule="auto"/>
        <w:rPr>
          <w:rFonts w:eastAsia="Arial" w:cs="Arial"/>
          <w:b w:val="0"/>
          <w:bCs w:val="0"/>
          <w:szCs w:val="22"/>
        </w:rPr>
      </w:pPr>
      <w:r w:rsidRPr="00A02CDC">
        <w:rPr>
          <w:rFonts w:eastAsia="Arial" w:cs="Arial"/>
          <w:szCs w:val="22"/>
        </w:rPr>
        <w:t xml:space="preserve">2050 TPP Goal: </w:t>
      </w:r>
      <w:r w:rsidRPr="00A02CDC">
        <w:rPr>
          <w:rFonts w:eastAsia="Arial" w:cs="Arial"/>
          <w:b w:val="0"/>
          <w:bCs w:val="0"/>
          <w:szCs w:val="22"/>
        </w:rPr>
        <w:t xml:space="preserve">Our </w:t>
      </w:r>
      <w:r w:rsidR="00BA341D">
        <w:rPr>
          <w:rFonts w:eastAsia="Arial" w:cs="Arial"/>
          <w:b w:val="0"/>
          <w:bCs w:val="0"/>
          <w:szCs w:val="22"/>
        </w:rPr>
        <w:t>r</w:t>
      </w:r>
      <w:r w:rsidRPr="00A02CDC">
        <w:rPr>
          <w:rFonts w:eastAsia="Arial" w:cs="Arial"/>
          <w:b w:val="0"/>
          <w:bCs w:val="0"/>
          <w:szCs w:val="22"/>
        </w:rPr>
        <w:t xml:space="preserve">egion is </w:t>
      </w:r>
      <w:r w:rsidR="00BA341D">
        <w:rPr>
          <w:rFonts w:eastAsia="Arial" w:cs="Arial"/>
          <w:b w:val="0"/>
          <w:bCs w:val="0"/>
          <w:szCs w:val="22"/>
        </w:rPr>
        <w:t>d</w:t>
      </w:r>
      <w:r w:rsidRPr="00A02CDC">
        <w:rPr>
          <w:rFonts w:eastAsia="Arial" w:cs="Arial"/>
          <w:b w:val="0"/>
          <w:bCs w:val="0"/>
          <w:szCs w:val="22"/>
        </w:rPr>
        <w:t xml:space="preserve">ynamic and </w:t>
      </w:r>
      <w:r w:rsidR="00BA341D">
        <w:rPr>
          <w:rFonts w:eastAsia="Arial" w:cs="Arial"/>
          <w:b w:val="0"/>
          <w:bCs w:val="0"/>
          <w:szCs w:val="22"/>
        </w:rPr>
        <w:t>r</w:t>
      </w:r>
      <w:r w:rsidRPr="00A02CDC">
        <w:rPr>
          <w:rFonts w:eastAsia="Arial" w:cs="Arial"/>
          <w:b w:val="0"/>
          <w:bCs w:val="0"/>
          <w:szCs w:val="22"/>
        </w:rPr>
        <w:t>esilient</w:t>
      </w:r>
    </w:p>
    <w:p w14:paraId="53DA8C44" w14:textId="77777777" w:rsidR="00A02CDC" w:rsidRPr="00A02CDC" w:rsidRDefault="00A02CDC" w:rsidP="00A02CDC">
      <w:pPr>
        <w:spacing w:after="0"/>
        <w:rPr>
          <w:rFonts w:eastAsia="Arial" w:cs="Arial"/>
        </w:rPr>
      </w:pPr>
      <w:r w:rsidRPr="00A02CDC">
        <w:rPr>
          <w:rFonts w:eastAsia="Arial" w:cs="Arial"/>
          <w:b/>
          <w:bCs/>
        </w:rPr>
        <w:t xml:space="preserve">2050 TPP Objectives or Policies: </w:t>
      </w:r>
    </w:p>
    <w:p w14:paraId="0243E7F8" w14:textId="77777777" w:rsidR="00A02CDC" w:rsidRPr="000E43C1" w:rsidRDefault="00A02CDC" w:rsidP="00A02CDC">
      <w:pPr>
        <w:pStyle w:val="ListBullet"/>
        <w:tabs>
          <w:tab w:val="clear" w:pos="540"/>
        </w:tabs>
        <w:spacing w:after="240"/>
        <w:contextualSpacing/>
      </w:pPr>
      <w:r w:rsidRPr="000E43C1">
        <w:t>People do not die or face life-changing injuries when using any form of transportation.</w:t>
      </w:r>
    </w:p>
    <w:p w14:paraId="0226D1B7" w14:textId="77777777" w:rsidR="00A02CDC" w:rsidRPr="000E43C1" w:rsidRDefault="00A02CDC" w:rsidP="00A02CDC">
      <w:pPr>
        <w:pStyle w:val="ListBullet"/>
        <w:tabs>
          <w:tab w:val="clear" w:pos="540"/>
        </w:tabs>
        <w:spacing w:after="240"/>
        <w:contextualSpacing/>
      </w:pPr>
      <w:r w:rsidRPr="000E43C1">
        <w:t xml:space="preserve">People have more predictable travel times when traveling on highways, with a focus on reducing excessive delays. </w:t>
      </w:r>
    </w:p>
    <w:p w14:paraId="26480AF0" w14:textId="77777777" w:rsidR="00A02CDC" w:rsidRPr="000E43C1" w:rsidRDefault="00A02CDC" w:rsidP="00A02CDC">
      <w:pPr>
        <w:pStyle w:val="ListBullet"/>
        <w:tabs>
          <w:tab w:val="clear" w:pos="540"/>
        </w:tabs>
        <w:spacing w:after="240"/>
        <w:contextualSpacing/>
      </w:pPr>
      <w:r w:rsidRPr="000E43C1">
        <w:t>People and businesses can rely on predictable and cost-effective movement of freight and goods.</w:t>
      </w:r>
    </w:p>
    <w:p w14:paraId="34D85F2B" w14:textId="77777777" w:rsidR="00A02CDC" w:rsidRPr="000E43C1" w:rsidRDefault="00A02CDC" w:rsidP="00A02CDC">
      <w:pPr>
        <w:pStyle w:val="ListBullet"/>
        <w:tabs>
          <w:tab w:val="clear" w:pos="540"/>
        </w:tabs>
        <w:spacing w:after="240"/>
        <w:contextualSpacing/>
      </w:pPr>
      <w:r w:rsidRPr="000E43C1">
        <w:t>The region’s transportation system protects, restores, and enhances natural systems (air, water, vegetation, and habitat quality).</w:t>
      </w:r>
    </w:p>
    <w:p w14:paraId="6BC7B97A" w14:textId="77777777" w:rsidR="00A02CDC" w:rsidRPr="00A02CDC" w:rsidRDefault="00A02CDC" w:rsidP="00A02CDC">
      <w:pPr>
        <w:spacing w:after="120"/>
        <w:rPr>
          <w:rFonts w:eastAsia="Arial" w:cs="Arial"/>
        </w:rPr>
      </w:pPr>
      <w:r w:rsidRPr="00A02CDC">
        <w:rPr>
          <w:rFonts w:eastAsia="Arial" w:cs="Arial"/>
          <w:b/>
          <w:bCs/>
        </w:rPr>
        <w:t>Category Definition:</w:t>
      </w:r>
      <w:r w:rsidRPr="00A02CDC">
        <w:rPr>
          <w:rFonts w:eastAsia="Arial" w:cs="Arial"/>
        </w:rPr>
        <w:t xml:space="preserve"> The Congestion Management Strategies application category is intended to fund projects that increase reliability and minimize excessive delay for people and freight and provide transportation options on roadway corridors with delay and travel time reliability issues. </w:t>
      </w:r>
    </w:p>
    <w:p w14:paraId="68237AC0" w14:textId="77777777" w:rsidR="00A02CDC" w:rsidRPr="0099603C" w:rsidRDefault="00A02CDC" w:rsidP="00A02CDC">
      <w:pPr>
        <w:pStyle w:val="Heading1"/>
      </w:pPr>
      <w:r w:rsidRPr="5D958ED2">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A02CDC" w14:paraId="342D5028" w14:textId="77777777" w:rsidTr="004C7E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8730" w:type="dxa"/>
            <w:tcBorders>
              <w:top w:val="single" w:sz="6" w:space="0" w:color="4F81BD" w:themeColor="accent1"/>
              <w:left w:val="single" w:sz="6" w:space="0" w:color="4F81BD" w:themeColor="accent1"/>
              <w:bottom w:val="single" w:sz="6" w:space="0" w:color="4F81BD" w:themeColor="accent1"/>
            </w:tcBorders>
            <w:tcMar>
              <w:left w:w="90" w:type="dxa"/>
              <w:right w:w="90" w:type="dxa"/>
            </w:tcMar>
            <w:vAlign w:val="bottom"/>
          </w:tcPr>
          <w:p w14:paraId="2520B692" w14:textId="77777777" w:rsidR="00A02CDC" w:rsidRPr="00A02CDC" w:rsidRDefault="00A02CDC" w:rsidP="000651D8">
            <w:pPr>
              <w:pStyle w:val="TableHeader"/>
              <w:spacing w:before="120" w:after="0"/>
              <w:rPr>
                <w:rFonts w:eastAsia="Arial"/>
                <w:color w:val="FFFFFF"/>
              </w:rPr>
            </w:pPr>
            <w:r w:rsidRPr="00A02CDC">
              <w:rPr>
                <w:b/>
                <w:bCs/>
                <w:color w:val="FFFFFF"/>
              </w:rPr>
              <w:t>Criteria and Measures</w:t>
            </w:r>
          </w:p>
        </w:tc>
        <w:tc>
          <w:tcPr>
            <w:tcW w:w="1334" w:type="dxa"/>
            <w:tcBorders>
              <w:top w:val="single" w:sz="6" w:space="0" w:color="4F81BD" w:themeColor="accent1"/>
              <w:bottom w:val="single" w:sz="6" w:space="0" w:color="4F81BD" w:themeColor="accent1"/>
              <w:right w:val="single" w:sz="6" w:space="0" w:color="4F81BD" w:themeColor="accent1"/>
            </w:tcBorders>
            <w:tcMar>
              <w:left w:w="90" w:type="dxa"/>
              <w:right w:w="90" w:type="dxa"/>
            </w:tcMar>
          </w:tcPr>
          <w:p w14:paraId="7308D055" w14:textId="77777777" w:rsidR="00A02CDC" w:rsidRPr="00A02CDC" w:rsidRDefault="00A02CDC"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color w:val="FFFFFF"/>
              </w:rPr>
            </w:pPr>
            <w:r w:rsidRPr="00A02CDC">
              <w:rPr>
                <w:b/>
                <w:bCs/>
                <w:color w:val="FFFFFF"/>
              </w:rPr>
              <w:t>%</w:t>
            </w:r>
          </w:p>
        </w:tc>
      </w:tr>
      <w:tr w:rsidR="00A02CDC" w14:paraId="4ACFFD53" w14:textId="77777777" w:rsidTr="004C7E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30" w:type="dxa"/>
            <w:tcBorders>
              <w:top w:val="single" w:sz="6" w:space="0" w:color="4F81BD" w:themeColor="accent1"/>
              <w:left w:val="single" w:sz="6" w:space="0" w:color="4F81BD" w:themeColor="accent1"/>
              <w:bottom w:val="nil"/>
            </w:tcBorders>
            <w:tcMar>
              <w:left w:w="90" w:type="dxa"/>
              <w:right w:w="90" w:type="dxa"/>
            </w:tcMar>
          </w:tcPr>
          <w:p w14:paraId="4968CB00" w14:textId="77777777" w:rsidR="00A02CDC" w:rsidRPr="00A02CDC" w:rsidRDefault="00A02CDC" w:rsidP="00A02CDC">
            <w:pPr>
              <w:pStyle w:val="ListParagraph"/>
              <w:numPr>
                <w:ilvl w:val="0"/>
                <w:numId w:val="41"/>
              </w:numPr>
              <w:spacing w:after="0"/>
              <w:rPr>
                <w:rFonts w:eastAsia="Arial" w:cs="Arial"/>
                <w:b w:val="0"/>
                <w:bCs w:val="0"/>
              </w:rPr>
            </w:pPr>
            <w:r w:rsidRPr="00A02CDC">
              <w:rPr>
                <w:rFonts w:eastAsia="Arial" w:cs="Arial"/>
              </w:rPr>
              <w:t>Anticipated Delay Reduction</w:t>
            </w:r>
          </w:p>
        </w:tc>
        <w:tc>
          <w:tcPr>
            <w:tcW w:w="1334" w:type="dxa"/>
            <w:tcBorders>
              <w:top w:val="single" w:sz="6" w:space="0" w:color="4F81BD" w:themeColor="accent1"/>
              <w:left w:val="nil"/>
              <w:bottom w:val="nil"/>
              <w:right w:val="single" w:sz="6" w:space="0" w:color="4F81BD" w:themeColor="accent1"/>
            </w:tcBorders>
            <w:tcMar>
              <w:left w:w="90" w:type="dxa"/>
              <w:right w:w="90" w:type="dxa"/>
            </w:tcMar>
          </w:tcPr>
          <w:p w14:paraId="544088E1"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15</w:t>
            </w:r>
          </w:p>
        </w:tc>
      </w:tr>
      <w:tr w:rsidR="00A02CDC" w14:paraId="111C65A2"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28362DF9" w14:textId="77777777" w:rsidR="00A02CDC" w:rsidRPr="00A02CDC" w:rsidRDefault="00A02CDC" w:rsidP="000651D8">
            <w:pPr>
              <w:spacing w:after="0" w:line="259" w:lineRule="auto"/>
              <w:ind w:left="720"/>
              <w:rPr>
                <w:rFonts w:eastAsia="Arial" w:cs="Arial"/>
              </w:rPr>
            </w:pPr>
            <w:r w:rsidRPr="00A02CDC">
              <w:rPr>
                <w:rFonts w:eastAsia="Arial" w:cs="Arial"/>
                <w:b w:val="0"/>
                <w:bCs w:val="0"/>
              </w:rPr>
              <w:t xml:space="preserve">Measure A – Cost effectiveness of delay reduced </w:t>
            </w:r>
          </w:p>
        </w:tc>
        <w:tc>
          <w:tcPr>
            <w:tcW w:w="1334" w:type="dxa"/>
            <w:tcBorders>
              <w:top w:val="nil"/>
              <w:bottom w:val="nil"/>
              <w:right w:val="single" w:sz="6" w:space="0" w:color="4F81BD" w:themeColor="accent1"/>
            </w:tcBorders>
            <w:tcMar>
              <w:left w:w="90" w:type="dxa"/>
              <w:right w:w="90" w:type="dxa"/>
            </w:tcMar>
          </w:tcPr>
          <w:p w14:paraId="418E749C"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15</w:t>
            </w:r>
          </w:p>
        </w:tc>
      </w:tr>
      <w:tr w:rsidR="00A02CDC" w14:paraId="18DC2F6D"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0973ACFB" w14:textId="34002E9D" w:rsidR="00A02CDC" w:rsidRPr="00A02CDC" w:rsidRDefault="00A02CDC" w:rsidP="00A02CDC">
            <w:pPr>
              <w:pStyle w:val="ListParagraph"/>
              <w:numPr>
                <w:ilvl w:val="0"/>
                <w:numId w:val="41"/>
              </w:numPr>
              <w:spacing w:after="0"/>
              <w:contextualSpacing w:val="0"/>
              <w:rPr>
                <w:rFonts w:eastAsia="Arial" w:cs="Arial"/>
              </w:rPr>
            </w:pPr>
            <w:r w:rsidRPr="00A02CDC">
              <w:rPr>
                <w:rFonts w:eastAsia="Arial" w:cs="Arial"/>
              </w:rPr>
              <w:t xml:space="preserve">Regional Priorities for Reliability </w:t>
            </w:r>
            <w:r w:rsidR="000E43C1">
              <w:rPr>
                <w:rFonts w:eastAsia="Arial" w:cs="Arial"/>
              </w:rPr>
              <w:t>and</w:t>
            </w:r>
            <w:r w:rsidRPr="00A02CDC">
              <w:rPr>
                <w:rFonts w:eastAsia="Arial" w:cs="Arial"/>
              </w:rPr>
              <w:t xml:space="preserve"> Excessive Delay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35BFC458"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25</w:t>
            </w:r>
          </w:p>
        </w:tc>
      </w:tr>
      <w:tr w:rsidR="004C7E52" w14:paraId="0F2501B7"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521418B3" w14:textId="23C2E12A" w:rsidR="004C7E52" w:rsidRPr="00A02CDC" w:rsidRDefault="004C7E52" w:rsidP="004C7E52">
            <w:pPr>
              <w:pStyle w:val="ListParagraph"/>
              <w:spacing w:after="0"/>
              <w:rPr>
                <w:rFonts w:eastAsia="Arial" w:cs="Arial"/>
              </w:rPr>
            </w:pPr>
            <w:r w:rsidRPr="6E9BE6EE">
              <w:rPr>
                <w:rFonts w:eastAsia="Arial" w:cs="Arial"/>
                <w:b w:val="0"/>
                <w:bCs w:val="0"/>
              </w:rPr>
              <w:t xml:space="preserve">Measure A – 2050 TPP map for </w:t>
            </w:r>
            <w:r>
              <w:rPr>
                <w:rFonts w:eastAsia="Arial" w:cs="Arial"/>
                <w:b w:val="0"/>
                <w:bCs w:val="0"/>
              </w:rPr>
              <w:t>e</w:t>
            </w:r>
            <w:r w:rsidRPr="6E9BE6EE">
              <w:rPr>
                <w:rFonts w:eastAsia="Arial" w:cs="Arial"/>
                <w:b w:val="0"/>
                <w:bCs w:val="0"/>
              </w:rPr>
              <w:t xml:space="preserve">xcessive </w:t>
            </w:r>
            <w:r>
              <w:rPr>
                <w:rFonts w:eastAsia="Arial" w:cs="Arial"/>
                <w:b w:val="0"/>
                <w:bCs w:val="0"/>
              </w:rPr>
              <w:t>d</w:t>
            </w:r>
            <w:r w:rsidRPr="6E9BE6EE">
              <w:rPr>
                <w:rFonts w:eastAsia="Arial" w:cs="Arial"/>
                <w:b w:val="0"/>
                <w:bCs w:val="0"/>
              </w:rPr>
              <w:t>elay</w:t>
            </w:r>
          </w:p>
        </w:tc>
        <w:tc>
          <w:tcPr>
            <w:tcW w:w="1334" w:type="dxa"/>
            <w:tcBorders>
              <w:top w:val="nil"/>
              <w:bottom w:val="nil"/>
              <w:right w:val="single" w:sz="6" w:space="0" w:color="4F81BD" w:themeColor="accent1"/>
            </w:tcBorders>
            <w:tcMar>
              <w:left w:w="90" w:type="dxa"/>
              <w:right w:w="90" w:type="dxa"/>
            </w:tcMar>
          </w:tcPr>
          <w:p w14:paraId="68047C64" w14:textId="77777777" w:rsidR="004C7E52" w:rsidRPr="00A02CDC" w:rsidRDefault="004C7E52" w:rsidP="004C7E5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4C7E52" w14:paraId="4C8823CE"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19BF86D9" w14:textId="1A1E9C37" w:rsidR="004C7E52" w:rsidRPr="00A02CDC" w:rsidRDefault="004C7E52" w:rsidP="004C7E52">
            <w:pPr>
              <w:pStyle w:val="ListParagraph"/>
              <w:spacing w:after="0"/>
              <w:rPr>
                <w:rFonts w:eastAsia="Arial" w:cs="Arial"/>
              </w:rPr>
            </w:pPr>
            <w:r w:rsidRPr="6E9BE6EE">
              <w:rPr>
                <w:rFonts w:eastAsia="Arial" w:cs="Arial"/>
                <w:b w:val="0"/>
                <w:bCs w:val="0"/>
              </w:rPr>
              <w:t xml:space="preserve">Measure B – 2050 TPP map for </w:t>
            </w:r>
            <w:r>
              <w:rPr>
                <w:rFonts w:eastAsia="Arial" w:cs="Arial"/>
                <w:b w:val="0"/>
                <w:bCs w:val="0"/>
              </w:rPr>
              <w:t>reliability</w:t>
            </w:r>
            <w:r w:rsidRPr="6E9BE6EE">
              <w:rPr>
                <w:rFonts w:eastAsia="Arial" w:cs="Arial"/>
                <w:b w:val="0"/>
                <w:bCs w:val="0"/>
              </w:rPr>
              <w:t xml:space="preserve"> </w:t>
            </w:r>
          </w:p>
        </w:tc>
        <w:tc>
          <w:tcPr>
            <w:tcW w:w="1334" w:type="dxa"/>
            <w:tcBorders>
              <w:top w:val="nil"/>
              <w:bottom w:val="nil"/>
              <w:right w:val="single" w:sz="6" w:space="0" w:color="4F81BD" w:themeColor="accent1"/>
            </w:tcBorders>
            <w:tcMar>
              <w:left w:w="90" w:type="dxa"/>
              <w:right w:w="90" w:type="dxa"/>
            </w:tcMar>
          </w:tcPr>
          <w:p w14:paraId="63A5039A" w14:textId="77777777" w:rsidR="004C7E52" w:rsidRPr="00A02CDC" w:rsidRDefault="004C7E52" w:rsidP="004C7E5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4BA70F79"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1DD26F27" w14:textId="77777777" w:rsidR="00A02CDC" w:rsidRPr="00A02CDC" w:rsidRDefault="00A02CDC" w:rsidP="000651D8">
            <w:pPr>
              <w:pStyle w:val="ListParagraph"/>
              <w:spacing w:after="0" w:line="259" w:lineRule="auto"/>
              <w:rPr>
                <w:rFonts w:eastAsia="Arial" w:cs="Arial"/>
              </w:rPr>
            </w:pPr>
            <w:r w:rsidRPr="00A02CDC">
              <w:rPr>
                <w:rFonts w:eastAsia="Arial" w:cs="Arial"/>
                <w:b w:val="0"/>
                <w:bCs w:val="0"/>
              </w:rPr>
              <w:t>Measure C – Intersection Mobility and Safety Study priorities</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2CFEF26D"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5</w:t>
            </w:r>
          </w:p>
        </w:tc>
      </w:tr>
      <w:tr w:rsidR="00A02CDC" w14:paraId="5CFA8FD1"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6309608F" w14:textId="77777777" w:rsidR="00A02CDC" w:rsidRPr="00A02CDC" w:rsidRDefault="00A02CDC" w:rsidP="00A02CDC">
            <w:pPr>
              <w:pStyle w:val="ListParagraph"/>
              <w:numPr>
                <w:ilvl w:val="0"/>
                <w:numId w:val="41"/>
              </w:numPr>
              <w:spacing w:after="0"/>
              <w:contextualSpacing w:val="0"/>
              <w:rPr>
                <w:rFonts w:eastAsia="Arial" w:cs="Arial"/>
              </w:rPr>
            </w:pPr>
            <w:r w:rsidRPr="00A02CDC">
              <w:rPr>
                <w:rFonts w:eastAsia="Arial" w:cs="Arial"/>
              </w:rPr>
              <w:t>Safety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79CA325A"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20</w:t>
            </w:r>
          </w:p>
        </w:tc>
      </w:tr>
      <w:tr w:rsidR="00A02CDC" w14:paraId="477E1988"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136C3F23" w14:textId="77777777" w:rsidR="00A02CDC" w:rsidRPr="00A02CDC" w:rsidRDefault="00A02CDC" w:rsidP="000651D8">
            <w:pPr>
              <w:pStyle w:val="ListParagraph"/>
              <w:spacing w:after="0"/>
              <w:rPr>
                <w:rFonts w:eastAsia="Arial" w:cs="Arial"/>
              </w:rPr>
            </w:pPr>
            <w:r w:rsidRPr="00A02CDC">
              <w:rPr>
                <w:rFonts w:eastAsia="Arial" w:cs="Arial"/>
                <w:b w:val="0"/>
                <w:bCs w:val="0"/>
              </w:rPr>
              <w:t xml:space="preserve">Measure A – Connection to </w:t>
            </w:r>
            <w:r w:rsidRPr="00A02CDC">
              <w:rPr>
                <w:b w:val="0"/>
                <w:bCs w:val="0"/>
              </w:rPr>
              <w:t xml:space="preserve">existing </w:t>
            </w:r>
            <w:r w:rsidRPr="00A02CDC">
              <w:rPr>
                <w:rFonts w:eastAsia="Arial" w:cs="Arial"/>
                <w:b w:val="0"/>
                <w:bCs w:val="0"/>
              </w:rPr>
              <w:t>safety planning efforts</w:t>
            </w:r>
          </w:p>
        </w:tc>
        <w:tc>
          <w:tcPr>
            <w:tcW w:w="1334" w:type="dxa"/>
            <w:tcBorders>
              <w:top w:val="nil"/>
              <w:bottom w:val="nil"/>
              <w:right w:val="single" w:sz="6" w:space="0" w:color="4F81BD" w:themeColor="accent1"/>
            </w:tcBorders>
            <w:tcMar>
              <w:left w:w="90" w:type="dxa"/>
              <w:right w:w="90" w:type="dxa"/>
            </w:tcMar>
          </w:tcPr>
          <w:p w14:paraId="3ABEDF02"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A02CDC" w14:paraId="18D5480B"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4BA64D06" w14:textId="77777777" w:rsidR="00A02CDC" w:rsidRPr="00A02CDC" w:rsidRDefault="00A02CDC" w:rsidP="000651D8">
            <w:pPr>
              <w:pStyle w:val="ListParagraph"/>
              <w:spacing w:after="0"/>
              <w:rPr>
                <w:rFonts w:eastAsia="Arial" w:cs="Arial"/>
              </w:rPr>
            </w:pPr>
            <w:r w:rsidRPr="00A02CDC">
              <w:rPr>
                <w:rFonts w:eastAsia="Arial" w:cs="Arial"/>
                <w:b w:val="0"/>
                <w:bCs w:val="0"/>
              </w:rPr>
              <w:t>Measure B – Safety improvements for people outside of vehicles</w:t>
            </w:r>
          </w:p>
        </w:tc>
        <w:tc>
          <w:tcPr>
            <w:tcW w:w="1334" w:type="dxa"/>
            <w:tcBorders>
              <w:top w:val="nil"/>
              <w:bottom w:val="nil"/>
              <w:right w:val="single" w:sz="6" w:space="0" w:color="4F81BD" w:themeColor="accent1"/>
            </w:tcBorders>
            <w:tcMar>
              <w:left w:w="90" w:type="dxa"/>
              <w:right w:w="90" w:type="dxa"/>
            </w:tcMar>
          </w:tcPr>
          <w:p w14:paraId="45E5B81F" w14:textId="77777777" w:rsidR="00A02CDC" w:rsidRPr="00A02CDC" w:rsidDel="001D61F9"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5</w:t>
            </w:r>
          </w:p>
        </w:tc>
      </w:tr>
      <w:tr w:rsidR="00A02CDC" w14:paraId="69E7465A"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49398C1D" w14:textId="72A046DF" w:rsidR="00A02CDC" w:rsidRPr="00A02CDC" w:rsidRDefault="00A02CDC" w:rsidP="000651D8">
            <w:pPr>
              <w:pStyle w:val="ListParagraph"/>
              <w:spacing w:after="0"/>
              <w:rPr>
                <w:rFonts w:eastAsia="Arial" w:cs="Arial"/>
              </w:rPr>
            </w:pPr>
            <w:r w:rsidRPr="00A02CDC">
              <w:rPr>
                <w:rFonts w:eastAsia="Arial" w:cs="Arial"/>
                <w:b w:val="0"/>
                <w:bCs w:val="0"/>
              </w:rPr>
              <w:t>M</w:t>
            </w:r>
            <w:r w:rsidR="00A91289">
              <w:rPr>
                <w:rFonts w:eastAsia="Arial" w:cs="Arial"/>
                <w:b w:val="0"/>
                <w:bCs w:val="0"/>
              </w:rPr>
              <w:t>e</w:t>
            </w:r>
            <w:r w:rsidRPr="00A02CDC">
              <w:rPr>
                <w:rFonts w:eastAsia="Arial" w:cs="Arial"/>
                <w:b w:val="0"/>
                <w:bCs w:val="0"/>
              </w:rPr>
              <w:t xml:space="preserve">asure C – </w:t>
            </w:r>
            <w:r w:rsidR="00A91289">
              <w:rPr>
                <w:rFonts w:eastAsia="Arial" w:cs="Arial"/>
                <w:b w:val="0"/>
                <w:bCs w:val="0"/>
              </w:rPr>
              <w:t>Safe System Approach</w:t>
            </w:r>
          </w:p>
        </w:tc>
        <w:tc>
          <w:tcPr>
            <w:tcW w:w="1334" w:type="dxa"/>
            <w:tcBorders>
              <w:top w:val="nil"/>
              <w:bottom w:val="nil"/>
              <w:right w:val="single" w:sz="6" w:space="0" w:color="4F81BD" w:themeColor="accent1"/>
            </w:tcBorders>
            <w:tcMar>
              <w:left w:w="90" w:type="dxa"/>
              <w:right w:w="90" w:type="dxa"/>
            </w:tcMar>
          </w:tcPr>
          <w:p w14:paraId="3FC0FE44" w14:textId="77777777" w:rsidR="00A02CDC" w:rsidRPr="00A02CDC" w:rsidDel="00A973A0"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5</w:t>
            </w:r>
          </w:p>
        </w:tc>
      </w:tr>
      <w:tr w:rsidR="00A02CDC" w14:paraId="44A4CABD" w14:textId="77777777" w:rsidTr="004C7E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6882C7C1" w14:textId="77777777" w:rsidR="00A02CDC" w:rsidRPr="00A02CDC" w:rsidRDefault="00A02CDC" w:rsidP="00A02CDC">
            <w:pPr>
              <w:pStyle w:val="ListParagraph"/>
              <w:numPr>
                <w:ilvl w:val="0"/>
                <w:numId w:val="41"/>
              </w:numPr>
              <w:spacing w:after="0"/>
              <w:contextualSpacing w:val="0"/>
              <w:rPr>
                <w:rFonts w:eastAsia="Arial" w:cs="Arial"/>
              </w:rPr>
            </w:pPr>
            <w:r w:rsidRPr="00A02CDC">
              <w:rPr>
                <w:rFonts w:eastAsia="Arial" w:cs="Arial"/>
              </w:rPr>
              <w:t>Multimodal/Complete Streets Connections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7C3627E1"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10</w:t>
            </w:r>
          </w:p>
        </w:tc>
      </w:tr>
      <w:tr w:rsidR="00A02CDC" w14:paraId="2E0BC0D1"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01029300" w14:textId="77777777" w:rsidR="00A02CDC" w:rsidRPr="00A02CDC" w:rsidRDefault="00A02CDC" w:rsidP="000651D8">
            <w:pPr>
              <w:pStyle w:val="ListParagraph"/>
              <w:spacing w:after="0"/>
              <w:rPr>
                <w:rFonts w:eastAsia="Arial" w:cs="Arial"/>
              </w:rPr>
            </w:pPr>
            <w:r w:rsidRPr="00A02CDC">
              <w:rPr>
                <w:rFonts w:eastAsia="Arial" w:cs="Arial"/>
                <w:b w:val="0"/>
                <w:bCs w:val="0"/>
              </w:rPr>
              <w:t>Measure A – New or improved multimodal connections (bicycle, pedestrian, transit, or TDM elements)</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5ACE0E69"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A02CDC" w14:paraId="686CD929"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13F0DBBC" w14:textId="77777777" w:rsidR="00A02CDC" w:rsidRPr="00A02CDC" w:rsidRDefault="00A02CDC" w:rsidP="00A02CDC">
            <w:pPr>
              <w:pStyle w:val="ListParagraph"/>
              <w:numPr>
                <w:ilvl w:val="0"/>
                <w:numId w:val="41"/>
              </w:numPr>
              <w:spacing w:after="0"/>
              <w:contextualSpacing w:val="0"/>
              <w:rPr>
                <w:rFonts w:eastAsia="Arial" w:cs="Arial"/>
                <w:strike/>
              </w:rPr>
            </w:pPr>
            <w:r w:rsidRPr="00A02CDC">
              <w:rPr>
                <w:rFonts w:eastAsia="Arial" w:cs="Arial"/>
              </w:rPr>
              <w:t>Freight</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1A2A6B8E"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5</w:t>
            </w:r>
          </w:p>
        </w:tc>
      </w:tr>
      <w:tr w:rsidR="00A02CDC" w14:paraId="3E463B7B"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32D3EB0A" w14:textId="77777777" w:rsidR="00A02CDC" w:rsidRPr="00A02CDC" w:rsidRDefault="00A02CDC" w:rsidP="000651D8">
            <w:pPr>
              <w:pStyle w:val="ListParagraph"/>
              <w:spacing w:after="0"/>
              <w:rPr>
                <w:rFonts w:eastAsia="Arial" w:cs="Arial"/>
              </w:rPr>
            </w:pPr>
            <w:r w:rsidRPr="00A02CDC">
              <w:rPr>
                <w:b w:val="0"/>
                <w:bCs w:val="0"/>
              </w:rPr>
              <w:t xml:space="preserve">Measure A – Regional Truck Corridor Study tiers </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06EC9CC1"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5</w:t>
            </w:r>
          </w:p>
        </w:tc>
      </w:tr>
      <w:tr w:rsidR="00A02CDC" w14:paraId="14F851F5"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2764AD56" w14:textId="77777777" w:rsidR="00A02CDC" w:rsidRPr="00A02CDC" w:rsidRDefault="00A02CDC" w:rsidP="00A02CDC">
            <w:pPr>
              <w:pStyle w:val="ListParagraph"/>
              <w:numPr>
                <w:ilvl w:val="0"/>
                <w:numId w:val="41"/>
              </w:numPr>
              <w:spacing w:after="0"/>
              <w:rPr>
                <w:rFonts w:eastAsia="Arial" w:cs="Arial"/>
              </w:rPr>
            </w:pPr>
            <w:r w:rsidRPr="00A02CDC">
              <w:rPr>
                <w:rFonts w:eastAsia="Arial" w:cs="Arial"/>
              </w:rPr>
              <w:t>Natural Systems Protection and Restoration</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5C5A72F0"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5</w:t>
            </w:r>
          </w:p>
        </w:tc>
      </w:tr>
      <w:tr w:rsidR="00A02CDC" w14:paraId="1920B8C9"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tcPr>
          <w:p w14:paraId="156CE5A5" w14:textId="77777777" w:rsidR="00A02CDC" w:rsidRPr="00A02CDC" w:rsidRDefault="00A02CDC" w:rsidP="000651D8">
            <w:pPr>
              <w:pStyle w:val="ListParagraph"/>
              <w:spacing w:after="0"/>
              <w:rPr>
                <w:rFonts w:eastAsia="Arial" w:cs="Arial"/>
              </w:rPr>
            </w:pPr>
            <w:r w:rsidRPr="00A02CDC">
              <w:rPr>
                <w:b w:val="0"/>
                <w:bCs w:val="0"/>
              </w:rPr>
              <w:t>Measure A – Flood mitigation, stormwater treatment, other environmental benefits, etc.</w:t>
            </w:r>
          </w:p>
        </w:tc>
        <w:tc>
          <w:tcPr>
            <w:tcW w:w="1334" w:type="dxa"/>
            <w:tcBorders>
              <w:top w:val="nil"/>
              <w:bottom w:val="single" w:sz="6" w:space="0" w:color="4F81BD" w:themeColor="accent1"/>
              <w:right w:val="single" w:sz="6" w:space="0" w:color="4F81BD" w:themeColor="accent1"/>
            </w:tcBorders>
            <w:tcMar>
              <w:left w:w="90" w:type="dxa"/>
              <w:right w:w="90" w:type="dxa"/>
            </w:tcMar>
          </w:tcPr>
          <w:p w14:paraId="0DB2A2EB"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5</w:t>
            </w:r>
          </w:p>
        </w:tc>
      </w:tr>
      <w:tr w:rsidR="00A02CDC" w14:paraId="45772B31"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175DBF54" w14:textId="77777777" w:rsidR="00A02CDC" w:rsidRPr="00A02CDC" w:rsidRDefault="00A02CDC" w:rsidP="00A02CDC">
            <w:pPr>
              <w:pStyle w:val="ListParagraph"/>
              <w:numPr>
                <w:ilvl w:val="0"/>
                <w:numId w:val="41"/>
              </w:numPr>
              <w:spacing w:after="0"/>
              <w:contextualSpacing w:val="0"/>
              <w:rPr>
                <w:rFonts w:eastAsia="Arial" w:cs="Arial"/>
              </w:rPr>
            </w:pPr>
            <w:r w:rsidRPr="00A02CDC">
              <w:rPr>
                <w:rFonts w:eastAsia="Arial" w:cs="Arial"/>
              </w:rPr>
              <w:t>Community Considerations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0281B7DC"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20</w:t>
            </w:r>
          </w:p>
        </w:tc>
      </w:tr>
      <w:tr w:rsidR="00A02CDC" w14:paraId="0C1930DF"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07C0E075" w14:textId="77777777" w:rsidR="00A02CDC" w:rsidRPr="00A02CDC" w:rsidRDefault="00A02CDC" w:rsidP="000651D8">
            <w:pPr>
              <w:pStyle w:val="ListParagraph"/>
              <w:spacing w:after="0"/>
              <w:contextualSpacing w:val="0"/>
              <w:rPr>
                <w:rFonts w:eastAsia="Arial" w:cs="Arial"/>
              </w:rPr>
            </w:pPr>
            <w:r w:rsidRPr="00A02CDC">
              <w:rPr>
                <w:b w:val="0"/>
                <w:bCs w:val="0"/>
              </w:rPr>
              <w:t>Measure A – Community data and context</w:t>
            </w:r>
          </w:p>
        </w:tc>
        <w:tc>
          <w:tcPr>
            <w:tcW w:w="1334" w:type="dxa"/>
            <w:tcBorders>
              <w:top w:val="nil"/>
              <w:bottom w:val="nil"/>
              <w:right w:val="single" w:sz="6" w:space="0" w:color="4F81BD" w:themeColor="accent1"/>
            </w:tcBorders>
            <w:tcMar>
              <w:left w:w="90" w:type="dxa"/>
              <w:right w:w="90" w:type="dxa"/>
            </w:tcMar>
            <w:vAlign w:val="center"/>
          </w:tcPr>
          <w:p w14:paraId="0D6F90F8"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t>6.7</w:t>
            </w:r>
          </w:p>
        </w:tc>
      </w:tr>
      <w:tr w:rsidR="00A02CDC" w14:paraId="36B8F860"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3D748605" w14:textId="77777777" w:rsidR="00A02CDC" w:rsidRPr="00A02CDC" w:rsidRDefault="00A02CDC" w:rsidP="000651D8">
            <w:pPr>
              <w:pStyle w:val="ListParagraph"/>
              <w:spacing w:after="0"/>
              <w:contextualSpacing w:val="0"/>
              <w:rPr>
                <w:rFonts w:eastAsia="Arial" w:cs="Arial"/>
              </w:rPr>
            </w:pPr>
            <w:r w:rsidRPr="00A02CDC">
              <w:rPr>
                <w:b w:val="0"/>
                <w:bCs w:val="0"/>
              </w:rPr>
              <w:t>Measure B – Community need and future engagement</w:t>
            </w:r>
          </w:p>
        </w:tc>
        <w:tc>
          <w:tcPr>
            <w:tcW w:w="1334" w:type="dxa"/>
            <w:tcBorders>
              <w:top w:val="nil"/>
              <w:bottom w:val="nil"/>
              <w:right w:val="single" w:sz="6" w:space="0" w:color="4F81BD" w:themeColor="accent1"/>
            </w:tcBorders>
            <w:tcMar>
              <w:left w:w="90" w:type="dxa"/>
              <w:right w:w="90" w:type="dxa"/>
            </w:tcMar>
            <w:vAlign w:val="center"/>
          </w:tcPr>
          <w:p w14:paraId="3A4651B2"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t>6.7</w:t>
            </w:r>
          </w:p>
        </w:tc>
      </w:tr>
      <w:tr w:rsidR="00A02CDC" w14:paraId="7BBA2272" w14:textId="77777777" w:rsidTr="004C7E52">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vAlign w:val="center"/>
          </w:tcPr>
          <w:p w14:paraId="711D4520" w14:textId="77777777" w:rsidR="00A02CDC" w:rsidRPr="00A02CDC" w:rsidRDefault="00A02CDC" w:rsidP="000651D8">
            <w:pPr>
              <w:pStyle w:val="ListParagraph"/>
              <w:spacing w:after="0"/>
              <w:contextualSpacing w:val="0"/>
              <w:rPr>
                <w:rFonts w:eastAsia="Arial" w:cs="Arial"/>
              </w:rPr>
            </w:pPr>
            <w:r w:rsidRPr="00A02CDC">
              <w:rPr>
                <w:b w:val="0"/>
                <w:bCs w:val="0"/>
              </w:rPr>
              <w:t>Measure C – Community benefits</w:t>
            </w:r>
          </w:p>
        </w:tc>
        <w:tc>
          <w:tcPr>
            <w:tcW w:w="1334" w:type="dxa"/>
            <w:tcBorders>
              <w:top w:val="nil"/>
              <w:bottom w:val="single" w:sz="6" w:space="0" w:color="4F81BD" w:themeColor="accent1"/>
              <w:right w:val="single" w:sz="6" w:space="0" w:color="4F81BD" w:themeColor="accent1"/>
            </w:tcBorders>
            <w:tcMar>
              <w:left w:w="90" w:type="dxa"/>
              <w:right w:w="90" w:type="dxa"/>
            </w:tcMar>
            <w:vAlign w:val="center"/>
          </w:tcPr>
          <w:p w14:paraId="0AF1DD0E"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t>6.7</w:t>
            </w:r>
          </w:p>
        </w:tc>
      </w:tr>
      <w:tr w:rsidR="00A02CDC" w14:paraId="5EA3CA07" w14:textId="77777777" w:rsidTr="004C7E5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2EC870BE" w14:textId="77777777" w:rsidR="00A02CDC" w:rsidRPr="00A02CDC" w:rsidRDefault="00A02CDC" w:rsidP="000651D8">
            <w:pPr>
              <w:spacing w:after="0"/>
              <w:rPr>
                <w:rFonts w:eastAsia="Arial" w:cs="Arial"/>
              </w:rPr>
            </w:pPr>
            <w:r w:rsidRPr="00A02CDC">
              <w:rPr>
                <w:rFonts w:eastAsia="Arial" w:cs="Arial"/>
              </w:rPr>
              <w:t>Total</w:t>
            </w:r>
          </w:p>
        </w:tc>
        <w:tc>
          <w:tcPr>
            <w:tcW w:w="1334"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5A99F047"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100</w:t>
            </w:r>
          </w:p>
        </w:tc>
      </w:tr>
    </w:tbl>
    <w:p w14:paraId="4FA2E924" w14:textId="77777777" w:rsidR="00A02CDC" w:rsidRDefault="00A02CDC" w:rsidP="00A02CDC">
      <w:pPr>
        <w:pStyle w:val="Heading1"/>
      </w:pPr>
      <w:r w:rsidRPr="7B4E6A66">
        <w:lastRenderedPageBreak/>
        <w:t xml:space="preserve">Examples of Eligible Projects </w:t>
      </w:r>
    </w:p>
    <w:p w14:paraId="37D6FC58" w14:textId="77777777" w:rsidR="00A02CDC" w:rsidRPr="00A02CDC" w:rsidRDefault="00A02CDC" w:rsidP="00A02CDC">
      <w:r w:rsidRPr="00A02CDC">
        <w:t>Please note that this list is not exhaustive and is intended only to provide examples. For questions regarding project eligibility, see the qualifying requirements for this application category and contact the Metropolitan Council.</w:t>
      </w:r>
      <w:r w:rsidRPr="00A02CDC">
        <w:rPr>
          <w:b/>
          <w:bCs/>
        </w:rPr>
        <w:t xml:space="preserve"> </w:t>
      </w:r>
    </w:p>
    <w:p w14:paraId="4D9B95E2" w14:textId="77777777" w:rsidR="00A02CDC" w:rsidRPr="00A02CDC" w:rsidRDefault="00A02CDC" w:rsidP="00A02CDC">
      <w:pPr>
        <w:pStyle w:val="ListBullet"/>
        <w:tabs>
          <w:tab w:val="clear" w:pos="540"/>
        </w:tabs>
        <w:spacing w:after="240"/>
        <w:contextualSpacing/>
      </w:pPr>
      <w:r w:rsidRPr="00A02CDC">
        <w:t xml:space="preserve">Traffic operations improvements/Intelligent Transportation Systems (ITS) </w:t>
      </w:r>
    </w:p>
    <w:p w14:paraId="64D1D7BD" w14:textId="77777777" w:rsidR="00A02CDC" w:rsidRPr="00A02CDC" w:rsidRDefault="00A02CDC" w:rsidP="00A02CDC">
      <w:pPr>
        <w:pStyle w:val="ListBullet"/>
        <w:tabs>
          <w:tab w:val="clear" w:pos="540"/>
        </w:tabs>
        <w:spacing w:after="240"/>
        <w:contextualSpacing/>
      </w:pPr>
      <w:r w:rsidRPr="00A02CDC">
        <w:t xml:space="preserve">At-grade intersection improvements focused on improving reliability and minimizing excessive vehicle delay </w:t>
      </w:r>
    </w:p>
    <w:p w14:paraId="614E694A" w14:textId="77777777" w:rsidR="00A02CDC" w:rsidRPr="00A02CDC" w:rsidRDefault="00A02CDC" w:rsidP="00A02CDC">
      <w:pPr>
        <w:pStyle w:val="ListBullet"/>
        <w:tabs>
          <w:tab w:val="clear" w:pos="540"/>
        </w:tabs>
        <w:spacing w:after="240"/>
        <w:contextualSpacing/>
      </w:pPr>
      <w:r w:rsidRPr="00A02CDC">
        <w:t xml:space="preserve">Expansion of existing interchanges with an increased number of through lanes </w:t>
      </w:r>
    </w:p>
    <w:p w14:paraId="182A30D9" w14:textId="77777777" w:rsidR="00A02CDC" w:rsidRPr="00A02CDC" w:rsidRDefault="00A02CDC" w:rsidP="00A02CDC">
      <w:pPr>
        <w:pStyle w:val="ListBullet"/>
        <w:tabs>
          <w:tab w:val="clear" w:pos="540"/>
        </w:tabs>
        <w:spacing w:after="240"/>
        <w:contextualSpacing/>
      </w:pPr>
      <w:r w:rsidRPr="00A02CDC">
        <w:t xml:space="preserve">New interchange or new interchange ramp movements on an existing system </w:t>
      </w:r>
    </w:p>
    <w:p w14:paraId="25A0BD11" w14:textId="77777777" w:rsidR="00A02CDC" w:rsidRPr="00A02CDC" w:rsidRDefault="00A02CDC" w:rsidP="00A02CDC">
      <w:pPr>
        <w:pStyle w:val="ListBullet"/>
        <w:tabs>
          <w:tab w:val="clear" w:pos="540"/>
        </w:tabs>
        <w:spacing w:after="240"/>
        <w:contextualSpacing/>
      </w:pPr>
      <w:r w:rsidRPr="00A02CDC">
        <w:t xml:space="preserve">New roadways </w:t>
      </w:r>
    </w:p>
    <w:p w14:paraId="2281EC8D" w14:textId="77777777" w:rsidR="00A02CDC" w:rsidRPr="00A02CDC" w:rsidRDefault="00A02CDC" w:rsidP="00A02CDC">
      <w:pPr>
        <w:pStyle w:val="ListBullet"/>
        <w:tabs>
          <w:tab w:val="clear" w:pos="540"/>
        </w:tabs>
        <w:spacing w:after="240"/>
        <w:contextualSpacing/>
      </w:pPr>
      <w:proofErr w:type="gramStart"/>
      <w:r w:rsidRPr="00A02CDC">
        <w:t>New through lanes</w:t>
      </w:r>
      <w:proofErr w:type="gramEnd"/>
      <w:r w:rsidRPr="00A02CDC">
        <w:t xml:space="preserve">  </w:t>
      </w:r>
    </w:p>
    <w:p w14:paraId="6D5C999D" w14:textId="77777777" w:rsidR="00A02CDC" w:rsidRPr="00A02CDC" w:rsidRDefault="00A02CDC" w:rsidP="00A02CDC">
      <w:pPr>
        <w:pStyle w:val="ListBullet"/>
        <w:tabs>
          <w:tab w:val="clear" w:pos="540"/>
        </w:tabs>
        <w:spacing w:after="240"/>
        <w:contextualSpacing/>
        <w:rPr>
          <w:b/>
          <w:bCs/>
        </w:rPr>
      </w:pPr>
      <w:r w:rsidRPr="00A02CDC">
        <w:t>New roadway bridges, overpasses, and underpasses</w:t>
      </w:r>
    </w:p>
    <w:p w14:paraId="08995E86" w14:textId="0462B7C9" w:rsidR="009506C5" w:rsidRDefault="009506C5" w:rsidP="009506C5">
      <w:pPr>
        <w:pStyle w:val="Heading2"/>
      </w:pPr>
      <w:r>
        <w:t>Note:</w:t>
      </w:r>
    </w:p>
    <w:p w14:paraId="147E0550" w14:textId="52A46A93" w:rsidR="00A02CDC" w:rsidRPr="00A02CDC" w:rsidRDefault="00A02CDC" w:rsidP="00A02CDC">
      <w:pPr>
        <w:rPr>
          <w:rFonts w:eastAsia="Arial"/>
        </w:rPr>
      </w:pPr>
      <w:r w:rsidRPr="00A02CDC">
        <w:rPr>
          <w:rFonts w:eastAsia="Arial"/>
          <w:b/>
          <w:bCs/>
        </w:rPr>
        <w:t>New State Law:</w:t>
      </w:r>
      <w:r w:rsidRPr="00A02CDC">
        <w:rPr>
          <w:rFonts w:eastAsia="Arial"/>
        </w:rPr>
        <w:t xml:space="preserve"> Projects located on the Minnesota trunk highway system that have a total construction cost (including design and engineering and right-of-way costs) greater than $15 million and are either new interchange projects or add 2,500 feet of lane miles or more are required to perform a transportation greenhouse gas emissions impact assessment per MN Statutes 161.178</w:t>
      </w:r>
      <w:r w:rsidRPr="00A02CDC">
        <w:rPr>
          <w:rStyle w:val="FootnoteReference"/>
          <w:rFonts w:eastAsia="Arial"/>
        </w:rPr>
        <w:footnoteReference w:id="2"/>
      </w:r>
      <w:r w:rsidRPr="00A02CDC">
        <w:rPr>
          <w:rFonts w:eastAsia="Arial"/>
        </w:rPr>
        <w:t>. This law requires a greenhouse gas impact assessment of the project and development of an offset plan before inclusion in the Transportation Improvement Program (TIP). The assessment and offset plan will need to be reviewed by the Metropolitan Council and Transportation Greenhouse Gas Emissions Impact Assessment Technical Advisory Committee. The Minnesota Commissioner of Transportation will approve the project to be included in the TIP.</w:t>
      </w:r>
    </w:p>
    <w:p w14:paraId="419E897B" w14:textId="10C074E6" w:rsidR="00A02CDC" w:rsidRPr="00A02CDC" w:rsidRDefault="00A02CDC" w:rsidP="00A02CDC">
      <w:pPr>
        <w:rPr>
          <w:rFonts w:eastAsia="Arial"/>
        </w:rPr>
      </w:pPr>
      <w:r w:rsidRPr="00A02CDC">
        <w:rPr>
          <w:rFonts w:eastAsia="Arial"/>
        </w:rPr>
        <w:t xml:space="preserve">Prior to Regional Solicitation application submittal, project proposers will need to determine project emissions impacts and identify vehicle miles </w:t>
      </w:r>
      <w:proofErr w:type="gramStart"/>
      <w:r w:rsidRPr="00A02CDC">
        <w:rPr>
          <w:rFonts w:eastAsia="Arial"/>
        </w:rPr>
        <w:t>traveled</w:t>
      </w:r>
      <w:proofErr w:type="gramEnd"/>
      <w:r w:rsidRPr="00A02CDC">
        <w:rPr>
          <w:rFonts w:eastAsia="Arial"/>
        </w:rPr>
        <w:t xml:space="preserve"> (VMT) and emissions offsets. Then, TAB will add in offsets generated from other selected Regional Solicitation and Active Transportation projects. The combined local and regional offsets will form the basis of the total offset plan to be reviewed by the Metropolitan Council and certified by MnDOT and its Technical Advisory Committee at least 90 days prior to the project entering the draft TIP. Project sponsors are encouraged to contact Met Council and MnDOT staff several months before the Regional Solicitation application deadline. </w:t>
      </w:r>
    </w:p>
    <w:p w14:paraId="7A0D0F18" w14:textId="77777777" w:rsidR="00A02CDC" w:rsidRPr="00A02CDC" w:rsidRDefault="00A02CDC" w:rsidP="00A02CDC">
      <w:pPr>
        <w:rPr>
          <w:rFonts w:eastAsia="Arial"/>
        </w:rPr>
      </w:pPr>
      <w:r w:rsidRPr="00A02CDC">
        <w:rPr>
          <w:rFonts w:eastAsia="Arial"/>
          <w:b/>
          <w:bCs/>
        </w:rPr>
        <w:t xml:space="preserve">Congestion Management Process (CMP): </w:t>
      </w:r>
      <w:proofErr w:type="gramStart"/>
      <w:r w:rsidRPr="00A02CDC">
        <w:rPr>
          <w:rFonts w:eastAsia="Arial"/>
        </w:rPr>
        <w:t>Roadway lane</w:t>
      </w:r>
      <w:proofErr w:type="gramEnd"/>
      <w:r w:rsidRPr="00A02CDC">
        <w:rPr>
          <w:rFonts w:eastAsia="Arial"/>
        </w:rPr>
        <w:t xml:space="preserve"> expansion projects of greater than one mile </w:t>
      </w:r>
      <w:proofErr w:type="gramStart"/>
      <w:r w:rsidRPr="00A02CDC">
        <w:rPr>
          <w:rFonts w:eastAsia="Arial"/>
        </w:rPr>
        <w:t>are</w:t>
      </w:r>
      <w:proofErr w:type="gramEnd"/>
      <w:r w:rsidRPr="00A02CDC">
        <w:rPr>
          <w:rFonts w:eastAsia="Arial"/>
        </w:rPr>
        <w:t xml:space="preserve"> required to follow the CMP Handbook process for identifying potential congestion solutions and submit materials to Metropolitan Council staff prior to the application deadline.  For the 2026 Regional Solicitation, the Metropolitan Council has an on-call consultant who can assist applicants with going through the CMP Handbook.</w:t>
      </w:r>
    </w:p>
    <w:p w14:paraId="08547E8C" w14:textId="349E58A3" w:rsidR="00A02CDC" w:rsidRDefault="00A02CDC">
      <w:pPr>
        <w:spacing w:after="0"/>
      </w:pPr>
      <w:r>
        <w:br w:type="page"/>
      </w:r>
    </w:p>
    <w:p w14:paraId="61B4EDA3" w14:textId="77777777" w:rsidR="00A02CDC" w:rsidRDefault="00A02CDC" w:rsidP="00A02CDC">
      <w:pPr>
        <w:pStyle w:val="ReportTitle"/>
      </w:pPr>
      <w:r>
        <w:lastRenderedPageBreak/>
        <w:t>New Interchanges</w:t>
      </w:r>
    </w:p>
    <w:p w14:paraId="750D661F" w14:textId="77777777" w:rsidR="00A02CDC" w:rsidRPr="00817E90" w:rsidRDefault="00A02CDC" w:rsidP="00A02CDC">
      <w:pPr>
        <w:pStyle w:val="Heading1"/>
      </w:pPr>
      <w:r>
        <w:t xml:space="preserve">Prioritizing Criteria and Measures </w:t>
      </w:r>
    </w:p>
    <w:p w14:paraId="1E13A049" w14:textId="17D5D5EB" w:rsidR="00A02CDC" w:rsidRPr="00A02CDC" w:rsidRDefault="00A02CDC" w:rsidP="00A02CDC">
      <w:pPr>
        <w:pStyle w:val="Caption"/>
        <w:spacing w:after="240" w:line="259" w:lineRule="auto"/>
        <w:rPr>
          <w:rFonts w:eastAsia="Arial" w:cs="Arial"/>
          <w:b w:val="0"/>
          <w:bCs w:val="0"/>
          <w:szCs w:val="22"/>
        </w:rPr>
      </w:pPr>
      <w:r w:rsidRPr="00A02CDC">
        <w:rPr>
          <w:rFonts w:eastAsia="Arial" w:cs="Arial"/>
          <w:szCs w:val="22"/>
        </w:rPr>
        <w:t xml:space="preserve">2050 TPP Goal: </w:t>
      </w:r>
      <w:r w:rsidRPr="00A02CDC">
        <w:rPr>
          <w:rFonts w:eastAsia="Arial" w:cs="Arial"/>
          <w:b w:val="0"/>
          <w:bCs w:val="0"/>
          <w:szCs w:val="22"/>
        </w:rPr>
        <w:t xml:space="preserve">Our </w:t>
      </w:r>
      <w:r w:rsidR="00804627">
        <w:rPr>
          <w:rFonts w:eastAsia="Arial" w:cs="Arial"/>
          <w:b w:val="0"/>
          <w:bCs w:val="0"/>
          <w:szCs w:val="22"/>
        </w:rPr>
        <w:t>r</w:t>
      </w:r>
      <w:r w:rsidRPr="00A02CDC">
        <w:rPr>
          <w:rFonts w:eastAsia="Arial" w:cs="Arial"/>
          <w:b w:val="0"/>
          <w:bCs w:val="0"/>
          <w:szCs w:val="22"/>
        </w:rPr>
        <w:t xml:space="preserve">egion is </w:t>
      </w:r>
      <w:r w:rsidR="00804627">
        <w:rPr>
          <w:rFonts w:eastAsia="Arial" w:cs="Arial"/>
          <w:b w:val="0"/>
          <w:bCs w:val="0"/>
          <w:szCs w:val="22"/>
        </w:rPr>
        <w:t>d</w:t>
      </w:r>
      <w:r w:rsidRPr="00A02CDC">
        <w:rPr>
          <w:rFonts w:eastAsia="Arial" w:cs="Arial"/>
          <w:b w:val="0"/>
          <w:bCs w:val="0"/>
          <w:szCs w:val="22"/>
        </w:rPr>
        <w:t xml:space="preserve">ynamic and </w:t>
      </w:r>
      <w:r w:rsidR="00804627">
        <w:rPr>
          <w:rFonts w:eastAsia="Arial" w:cs="Arial"/>
          <w:b w:val="0"/>
          <w:bCs w:val="0"/>
          <w:szCs w:val="22"/>
        </w:rPr>
        <w:t>r</w:t>
      </w:r>
      <w:r w:rsidRPr="00A02CDC">
        <w:rPr>
          <w:rFonts w:eastAsia="Arial" w:cs="Arial"/>
          <w:b w:val="0"/>
          <w:bCs w:val="0"/>
          <w:szCs w:val="22"/>
        </w:rPr>
        <w:t>esilient</w:t>
      </w:r>
    </w:p>
    <w:p w14:paraId="71F8CF15" w14:textId="77777777" w:rsidR="00A02CDC" w:rsidRPr="00A02CDC" w:rsidRDefault="00A02CDC" w:rsidP="00A02CDC">
      <w:pPr>
        <w:spacing w:after="0"/>
        <w:rPr>
          <w:rFonts w:eastAsia="Arial" w:cs="Arial"/>
        </w:rPr>
      </w:pPr>
      <w:r w:rsidRPr="00A02CDC">
        <w:rPr>
          <w:rFonts w:eastAsia="Arial" w:cs="Arial"/>
          <w:b/>
          <w:bCs/>
        </w:rPr>
        <w:t xml:space="preserve">2050 TPP Objectives or Policies: </w:t>
      </w:r>
    </w:p>
    <w:p w14:paraId="712D4C2A" w14:textId="77777777" w:rsidR="00A02CDC" w:rsidRPr="00804627" w:rsidRDefault="00A02CDC" w:rsidP="00A02CDC">
      <w:pPr>
        <w:pStyle w:val="ListBullet"/>
        <w:tabs>
          <w:tab w:val="clear" w:pos="540"/>
        </w:tabs>
        <w:spacing w:after="240"/>
        <w:contextualSpacing/>
      </w:pPr>
      <w:r w:rsidRPr="00804627">
        <w:t>People do not die or face life-changing injuries when using any form of transportation. </w:t>
      </w:r>
    </w:p>
    <w:p w14:paraId="71CFEB0E" w14:textId="77777777" w:rsidR="00A02CDC" w:rsidRPr="00804627" w:rsidRDefault="00A02CDC" w:rsidP="00A02CDC">
      <w:pPr>
        <w:pStyle w:val="ListBullet"/>
        <w:tabs>
          <w:tab w:val="clear" w:pos="540"/>
        </w:tabs>
        <w:spacing w:after="240"/>
        <w:contextualSpacing/>
      </w:pPr>
      <w:r w:rsidRPr="00804627">
        <w:t xml:space="preserve">People have more predictable travel times when traveling on highways, with a focus on reducing excessive delays. </w:t>
      </w:r>
    </w:p>
    <w:p w14:paraId="50796568" w14:textId="77777777" w:rsidR="00A02CDC" w:rsidRPr="00804627" w:rsidRDefault="00A02CDC" w:rsidP="00A02CDC">
      <w:pPr>
        <w:pStyle w:val="ListBullet"/>
        <w:tabs>
          <w:tab w:val="clear" w:pos="540"/>
        </w:tabs>
        <w:spacing w:after="240"/>
        <w:contextualSpacing/>
      </w:pPr>
      <w:r w:rsidRPr="00804627">
        <w:t>People and businesses can rely on predictable and cost-effective movement of freight and goods.</w:t>
      </w:r>
    </w:p>
    <w:p w14:paraId="5C342138" w14:textId="77777777" w:rsidR="00A02CDC" w:rsidRPr="00804627" w:rsidRDefault="00A02CDC" w:rsidP="00A02CDC">
      <w:pPr>
        <w:pStyle w:val="ListBullet"/>
        <w:tabs>
          <w:tab w:val="clear" w:pos="540"/>
        </w:tabs>
        <w:spacing w:after="240"/>
        <w:contextualSpacing/>
      </w:pPr>
      <w:r w:rsidRPr="00804627">
        <w:t>The region’s transportation system protects, restores, and enhances natural systems (air, water, vegetation, and habitat quality).</w:t>
      </w:r>
    </w:p>
    <w:p w14:paraId="56EB4466" w14:textId="77777777" w:rsidR="00A02CDC" w:rsidRPr="00A02CDC" w:rsidRDefault="00A02CDC" w:rsidP="00A02CDC">
      <w:pPr>
        <w:spacing w:after="120"/>
      </w:pPr>
      <w:r w:rsidRPr="00A02CDC">
        <w:rPr>
          <w:rFonts w:eastAsia="Arial" w:cs="Arial"/>
          <w:b/>
          <w:bCs/>
        </w:rPr>
        <w:t>Category Definition:</w:t>
      </w:r>
      <w:r w:rsidRPr="00A02CDC">
        <w:rPr>
          <w:rFonts w:eastAsia="Arial" w:cs="Arial"/>
        </w:rPr>
        <w:t xml:space="preserve"> The New Interchanges application category is intended to fund projects that increase reliability and minimize excessive delay for people and freight and reduce severe and fatal crashes by grade separating opposing travel movements. </w:t>
      </w:r>
    </w:p>
    <w:p w14:paraId="1AABDBD7" w14:textId="77777777" w:rsidR="00A02CDC" w:rsidRPr="00D412BC" w:rsidRDefault="00A02CDC" w:rsidP="00A02CDC">
      <w:pPr>
        <w:pStyle w:val="Heading1"/>
      </w:pPr>
      <w:r>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A02CDC" w14:paraId="4FD70374" w14:textId="77777777" w:rsidTr="002C45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8730" w:type="dxa"/>
            <w:tcBorders>
              <w:top w:val="single" w:sz="6" w:space="0" w:color="4F81BD" w:themeColor="accent1"/>
              <w:left w:val="single" w:sz="6" w:space="0" w:color="4F81BD" w:themeColor="accent1"/>
              <w:bottom w:val="single" w:sz="6" w:space="0" w:color="4F81BD" w:themeColor="accent1"/>
            </w:tcBorders>
            <w:tcMar>
              <w:left w:w="90" w:type="dxa"/>
              <w:right w:w="90" w:type="dxa"/>
            </w:tcMar>
            <w:vAlign w:val="bottom"/>
          </w:tcPr>
          <w:p w14:paraId="4E1D9854" w14:textId="77777777" w:rsidR="00A02CDC" w:rsidRPr="00A02CDC" w:rsidRDefault="00A02CDC" w:rsidP="000651D8">
            <w:pPr>
              <w:pStyle w:val="TableHeader"/>
              <w:spacing w:before="120" w:after="0"/>
              <w:rPr>
                <w:b/>
                <w:bCs/>
                <w:color w:val="FFFFFF"/>
              </w:rPr>
            </w:pPr>
            <w:r w:rsidRPr="00A02CDC">
              <w:rPr>
                <w:b/>
                <w:bCs/>
                <w:color w:val="FFFFFF"/>
              </w:rPr>
              <w:t>Criteria and Measures</w:t>
            </w:r>
          </w:p>
        </w:tc>
        <w:tc>
          <w:tcPr>
            <w:tcW w:w="1334" w:type="dxa"/>
            <w:tcBorders>
              <w:top w:val="single" w:sz="6" w:space="0" w:color="4F81BD" w:themeColor="accent1"/>
              <w:bottom w:val="single" w:sz="6" w:space="0" w:color="4F81BD" w:themeColor="accent1"/>
              <w:right w:val="single" w:sz="6" w:space="0" w:color="4F81BD" w:themeColor="accent1"/>
            </w:tcBorders>
            <w:tcMar>
              <w:left w:w="90" w:type="dxa"/>
              <w:right w:w="90" w:type="dxa"/>
            </w:tcMar>
          </w:tcPr>
          <w:p w14:paraId="6069A475" w14:textId="77777777" w:rsidR="00A02CDC" w:rsidRPr="00A02CDC" w:rsidRDefault="00A02CDC"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b/>
                <w:bCs/>
                <w:color w:val="FFFFFF"/>
              </w:rPr>
            </w:pPr>
            <w:r w:rsidRPr="00A02CDC">
              <w:rPr>
                <w:b/>
                <w:bCs/>
                <w:color w:val="FFFFFF"/>
              </w:rPr>
              <w:t>%</w:t>
            </w:r>
          </w:p>
        </w:tc>
      </w:tr>
      <w:tr w:rsidR="00A02CDC" w14:paraId="41879ECE"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6" w:space="0" w:color="4F81BD" w:themeColor="accent1"/>
              <w:left w:val="single" w:sz="6" w:space="0" w:color="4F81BD" w:themeColor="accent1"/>
              <w:bottom w:val="nil"/>
            </w:tcBorders>
            <w:tcMar>
              <w:left w:w="90" w:type="dxa"/>
              <w:right w:w="90" w:type="dxa"/>
            </w:tcMar>
          </w:tcPr>
          <w:p w14:paraId="06AC6903" w14:textId="77777777" w:rsidR="00A02CDC" w:rsidRPr="00A02CDC" w:rsidRDefault="00A02CDC" w:rsidP="00A02CDC">
            <w:pPr>
              <w:pStyle w:val="ListParagraph"/>
              <w:numPr>
                <w:ilvl w:val="0"/>
                <w:numId w:val="42"/>
              </w:numPr>
              <w:spacing w:after="0"/>
              <w:rPr>
                <w:rFonts w:eastAsia="Arial" w:cs="Arial"/>
              </w:rPr>
            </w:pPr>
            <w:r w:rsidRPr="00A02CDC">
              <w:rPr>
                <w:rFonts w:eastAsia="Arial" w:cs="Arial"/>
              </w:rPr>
              <w:t>Anticipated Delay Reduction</w:t>
            </w:r>
          </w:p>
        </w:tc>
        <w:tc>
          <w:tcPr>
            <w:tcW w:w="1334" w:type="dxa"/>
            <w:tcBorders>
              <w:top w:val="single" w:sz="6" w:space="0" w:color="4F81BD" w:themeColor="accent1"/>
              <w:bottom w:val="nil"/>
              <w:right w:val="single" w:sz="6" w:space="0" w:color="4F81BD" w:themeColor="accent1"/>
            </w:tcBorders>
            <w:tcMar>
              <w:left w:w="90" w:type="dxa"/>
              <w:right w:w="90" w:type="dxa"/>
            </w:tcMar>
          </w:tcPr>
          <w:p w14:paraId="1F4552D6"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10</w:t>
            </w:r>
          </w:p>
        </w:tc>
      </w:tr>
      <w:tr w:rsidR="00A02CDC" w14:paraId="5EDFF1DE" w14:textId="77777777" w:rsidTr="002C459F">
        <w:trPr>
          <w:trHeight w:val="300"/>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0AE40E1F" w14:textId="77777777" w:rsidR="00A02CDC" w:rsidRPr="00A02CDC" w:rsidRDefault="00A02CDC" w:rsidP="000651D8">
            <w:pPr>
              <w:spacing w:after="0"/>
              <w:ind w:left="720"/>
              <w:rPr>
                <w:rFonts w:eastAsia="Arial" w:cs="Arial"/>
              </w:rPr>
            </w:pPr>
            <w:r w:rsidRPr="00A02CDC">
              <w:rPr>
                <w:rFonts w:eastAsia="Arial" w:cs="Arial"/>
                <w:b w:val="0"/>
                <w:bCs w:val="0"/>
              </w:rPr>
              <w:t xml:space="preserve">Measure A – Cost effectiveness of delay reduced </w:t>
            </w:r>
          </w:p>
        </w:tc>
        <w:tc>
          <w:tcPr>
            <w:tcW w:w="1334" w:type="dxa"/>
            <w:tcBorders>
              <w:top w:val="nil"/>
              <w:bottom w:val="nil"/>
              <w:right w:val="single" w:sz="6" w:space="0" w:color="4F81BD" w:themeColor="accent1"/>
            </w:tcBorders>
            <w:tcMar>
              <w:left w:w="90" w:type="dxa"/>
              <w:right w:w="90" w:type="dxa"/>
            </w:tcMar>
          </w:tcPr>
          <w:p w14:paraId="69FE6119"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A02CDC" w14:paraId="3F61A4D7"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504EC02B" w14:textId="77777777" w:rsidR="00A02CDC" w:rsidRPr="00A02CDC" w:rsidRDefault="00A02CDC" w:rsidP="00A02CDC">
            <w:pPr>
              <w:pStyle w:val="ListParagraph"/>
              <w:numPr>
                <w:ilvl w:val="0"/>
                <w:numId w:val="42"/>
              </w:numPr>
              <w:spacing w:after="0"/>
              <w:contextualSpacing w:val="0"/>
              <w:rPr>
                <w:rFonts w:eastAsia="Arial" w:cs="Arial"/>
              </w:rPr>
            </w:pPr>
            <w:r w:rsidRPr="00A02CDC">
              <w:rPr>
                <w:rFonts w:eastAsia="Arial" w:cs="Arial"/>
              </w:rPr>
              <w:t>Regional Priorities for Reliability &amp; Excessive Delay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782F0863"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20</w:t>
            </w:r>
          </w:p>
        </w:tc>
      </w:tr>
      <w:tr w:rsidR="002C459F" w14:paraId="449D0FCC"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1FFDB515" w14:textId="0D439F38" w:rsidR="002C459F" w:rsidRPr="00A02CDC" w:rsidRDefault="002C459F" w:rsidP="002C459F">
            <w:pPr>
              <w:pStyle w:val="ListParagraph"/>
              <w:spacing w:after="0" w:line="259" w:lineRule="auto"/>
              <w:rPr>
                <w:rFonts w:eastAsia="Arial" w:cs="Arial"/>
              </w:rPr>
            </w:pPr>
            <w:r w:rsidRPr="6E9BE6EE">
              <w:rPr>
                <w:rFonts w:eastAsia="Arial" w:cs="Arial"/>
                <w:b w:val="0"/>
                <w:bCs w:val="0"/>
              </w:rPr>
              <w:t xml:space="preserve">Measure A – 2050 TPP map for </w:t>
            </w:r>
            <w:r>
              <w:rPr>
                <w:rFonts w:eastAsia="Arial" w:cs="Arial"/>
                <w:b w:val="0"/>
                <w:bCs w:val="0"/>
              </w:rPr>
              <w:t>e</w:t>
            </w:r>
            <w:r w:rsidRPr="6E9BE6EE">
              <w:rPr>
                <w:rFonts w:eastAsia="Arial" w:cs="Arial"/>
                <w:b w:val="0"/>
                <w:bCs w:val="0"/>
              </w:rPr>
              <w:t xml:space="preserve">xcessive </w:t>
            </w:r>
            <w:r>
              <w:rPr>
                <w:rFonts w:eastAsia="Arial" w:cs="Arial"/>
                <w:b w:val="0"/>
                <w:bCs w:val="0"/>
              </w:rPr>
              <w:t>d</w:t>
            </w:r>
            <w:r w:rsidRPr="6E9BE6EE">
              <w:rPr>
                <w:rFonts w:eastAsia="Arial" w:cs="Arial"/>
                <w:b w:val="0"/>
                <w:bCs w:val="0"/>
              </w:rPr>
              <w:t>elay</w:t>
            </w:r>
          </w:p>
        </w:tc>
        <w:tc>
          <w:tcPr>
            <w:tcW w:w="1334" w:type="dxa"/>
            <w:tcBorders>
              <w:top w:val="nil"/>
              <w:bottom w:val="nil"/>
              <w:right w:val="single" w:sz="6" w:space="0" w:color="4F81BD" w:themeColor="accent1"/>
            </w:tcBorders>
            <w:tcMar>
              <w:left w:w="90" w:type="dxa"/>
              <w:right w:w="90" w:type="dxa"/>
            </w:tcMar>
          </w:tcPr>
          <w:p w14:paraId="6318AC76" w14:textId="77777777" w:rsidR="002C459F" w:rsidRPr="00A02CDC" w:rsidRDefault="002C459F" w:rsidP="002C459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2C459F" w14:paraId="1E391926"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5873D249" w14:textId="0BF0EDFF" w:rsidR="002C459F" w:rsidRPr="00A02CDC" w:rsidRDefault="002C459F" w:rsidP="002C459F">
            <w:pPr>
              <w:pStyle w:val="ListParagraph"/>
              <w:spacing w:after="0"/>
              <w:contextualSpacing w:val="0"/>
              <w:rPr>
                <w:rFonts w:eastAsia="Arial" w:cs="Arial"/>
              </w:rPr>
            </w:pPr>
            <w:r w:rsidRPr="6E9BE6EE">
              <w:rPr>
                <w:rFonts w:eastAsia="Arial" w:cs="Arial"/>
                <w:b w:val="0"/>
                <w:bCs w:val="0"/>
              </w:rPr>
              <w:t xml:space="preserve">Measure B – 2050 TPP map for </w:t>
            </w:r>
            <w:r>
              <w:rPr>
                <w:rFonts w:eastAsia="Arial" w:cs="Arial"/>
                <w:b w:val="0"/>
                <w:bCs w:val="0"/>
              </w:rPr>
              <w:t>reliability</w:t>
            </w:r>
            <w:r w:rsidRPr="6E9BE6EE">
              <w:rPr>
                <w:rFonts w:eastAsia="Arial" w:cs="Arial"/>
                <w:b w:val="0"/>
                <w:bCs w:val="0"/>
              </w:rPr>
              <w:t xml:space="preserve"> </w:t>
            </w:r>
          </w:p>
        </w:tc>
        <w:tc>
          <w:tcPr>
            <w:tcW w:w="1334" w:type="dxa"/>
            <w:tcBorders>
              <w:top w:val="nil"/>
              <w:bottom w:val="nil"/>
              <w:right w:val="single" w:sz="6" w:space="0" w:color="4F81BD" w:themeColor="accent1"/>
            </w:tcBorders>
            <w:tcMar>
              <w:left w:w="90" w:type="dxa"/>
              <w:right w:w="90" w:type="dxa"/>
            </w:tcMar>
          </w:tcPr>
          <w:p w14:paraId="6E5717CE" w14:textId="77777777" w:rsidR="002C459F" w:rsidRPr="00A02CDC" w:rsidRDefault="002C459F" w:rsidP="002C459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4903A4C8"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0F867C15" w14:textId="77777777" w:rsidR="00A02CDC" w:rsidRPr="00A02CDC" w:rsidRDefault="00A02CDC" w:rsidP="00A02CDC">
            <w:pPr>
              <w:pStyle w:val="ListParagraph"/>
              <w:numPr>
                <w:ilvl w:val="0"/>
                <w:numId w:val="42"/>
              </w:numPr>
              <w:spacing w:after="0"/>
              <w:contextualSpacing w:val="0"/>
              <w:rPr>
                <w:rFonts w:eastAsia="Arial" w:cs="Arial"/>
              </w:rPr>
            </w:pPr>
            <w:r w:rsidRPr="00A02CDC">
              <w:rPr>
                <w:rFonts w:eastAsia="Arial" w:cs="Arial"/>
              </w:rPr>
              <w:t>Safety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3552EABA"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30</w:t>
            </w:r>
          </w:p>
        </w:tc>
      </w:tr>
      <w:tr w:rsidR="00A02CDC" w14:paraId="2D2E4F6B"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2BD563E0" w14:textId="77777777" w:rsidR="00A02CDC" w:rsidRPr="00A02CDC" w:rsidRDefault="00A02CDC" w:rsidP="000651D8">
            <w:pPr>
              <w:pStyle w:val="ListParagraph"/>
              <w:spacing w:after="0"/>
              <w:rPr>
                <w:rFonts w:eastAsia="Arial" w:cs="Arial"/>
              </w:rPr>
            </w:pPr>
            <w:r w:rsidRPr="00A02CDC">
              <w:rPr>
                <w:rFonts w:eastAsia="Arial" w:cs="Arial"/>
                <w:b w:val="0"/>
                <w:bCs w:val="0"/>
              </w:rPr>
              <w:t xml:space="preserve">Measure A – Connection to </w:t>
            </w:r>
            <w:r w:rsidRPr="00A02CDC">
              <w:rPr>
                <w:b w:val="0"/>
                <w:bCs w:val="0"/>
              </w:rPr>
              <w:t xml:space="preserve">existing </w:t>
            </w:r>
            <w:r w:rsidRPr="00A02CDC">
              <w:rPr>
                <w:rFonts w:eastAsia="Arial" w:cs="Arial"/>
                <w:b w:val="0"/>
                <w:bCs w:val="0"/>
              </w:rPr>
              <w:t>safety planning efforts</w:t>
            </w:r>
          </w:p>
        </w:tc>
        <w:tc>
          <w:tcPr>
            <w:tcW w:w="1334" w:type="dxa"/>
            <w:tcBorders>
              <w:top w:val="nil"/>
              <w:bottom w:val="nil"/>
              <w:right w:val="single" w:sz="6" w:space="0" w:color="4F81BD" w:themeColor="accent1"/>
            </w:tcBorders>
            <w:tcMar>
              <w:left w:w="90" w:type="dxa"/>
              <w:right w:w="90" w:type="dxa"/>
            </w:tcMar>
          </w:tcPr>
          <w:p w14:paraId="34654C56"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2C87F6DB"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64A97CFB" w14:textId="77777777" w:rsidR="00A02CDC" w:rsidRPr="00A02CDC" w:rsidRDefault="00A02CDC" w:rsidP="000651D8">
            <w:pPr>
              <w:pStyle w:val="ListParagraph"/>
              <w:spacing w:after="0"/>
              <w:rPr>
                <w:rFonts w:eastAsia="Arial" w:cs="Arial"/>
              </w:rPr>
            </w:pPr>
            <w:r w:rsidRPr="00A02CDC">
              <w:rPr>
                <w:rFonts w:eastAsia="Arial" w:cs="Arial"/>
                <w:b w:val="0"/>
                <w:bCs w:val="0"/>
              </w:rPr>
              <w:t>Measure B – Safety improvements for people outside of vehicles</w:t>
            </w:r>
          </w:p>
        </w:tc>
        <w:tc>
          <w:tcPr>
            <w:tcW w:w="1334" w:type="dxa"/>
            <w:tcBorders>
              <w:top w:val="nil"/>
              <w:bottom w:val="nil"/>
              <w:right w:val="single" w:sz="6" w:space="0" w:color="4F81BD" w:themeColor="accent1"/>
            </w:tcBorders>
            <w:tcMar>
              <w:left w:w="90" w:type="dxa"/>
              <w:right w:w="90" w:type="dxa"/>
            </w:tcMar>
          </w:tcPr>
          <w:p w14:paraId="552CA377" w14:textId="77777777" w:rsidR="00A02CDC" w:rsidRPr="00A02CDC" w:rsidDel="001D61F9"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10</w:t>
            </w:r>
          </w:p>
        </w:tc>
      </w:tr>
      <w:tr w:rsidR="00A02CDC" w14:paraId="3C2EF772"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7715F53D" w14:textId="5DC65633" w:rsidR="00A02CDC" w:rsidRPr="00A02CDC" w:rsidRDefault="00A02CDC" w:rsidP="000651D8">
            <w:pPr>
              <w:pStyle w:val="ListParagraph"/>
              <w:spacing w:after="0"/>
              <w:rPr>
                <w:rFonts w:eastAsia="Arial" w:cs="Arial"/>
              </w:rPr>
            </w:pPr>
            <w:r w:rsidRPr="00A02CDC">
              <w:rPr>
                <w:rFonts w:eastAsia="Arial" w:cs="Arial"/>
                <w:b w:val="0"/>
                <w:bCs w:val="0"/>
              </w:rPr>
              <w:t xml:space="preserve">Measure C – </w:t>
            </w:r>
            <w:r w:rsidR="00A91289">
              <w:rPr>
                <w:rFonts w:eastAsia="Arial" w:cs="Arial"/>
                <w:b w:val="0"/>
                <w:bCs w:val="0"/>
              </w:rPr>
              <w:t>Safe System Approach</w:t>
            </w:r>
          </w:p>
        </w:tc>
        <w:tc>
          <w:tcPr>
            <w:tcW w:w="1334" w:type="dxa"/>
            <w:tcBorders>
              <w:top w:val="nil"/>
              <w:bottom w:val="nil"/>
              <w:right w:val="single" w:sz="6" w:space="0" w:color="4F81BD" w:themeColor="accent1"/>
            </w:tcBorders>
            <w:tcMar>
              <w:left w:w="90" w:type="dxa"/>
              <w:right w:w="90" w:type="dxa"/>
            </w:tcMar>
          </w:tcPr>
          <w:p w14:paraId="206E2284"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04D592E2"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70D7B3EB" w14:textId="77777777" w:rsidR="00A02CDC" w:rsidRPr="00A02CDC" w:rsidRDefault="00A02CDC" w:rsidP="00A02CDC">
            <w:pPr>
              <w:pStyle w:val="ListParagraph"/>
              <w:numPr>
                <w:ilvl w:val="0"/>
                <w:numId w:val="42"/>
              </w:numPr>
              <w:spacing w:after="0"/>
              <w:contextualSpacing w:val="0"/>
              <w:rPr>
                <w:rFonts w:eastAsia="Arial" w:cs="Arial"/>
              </w:rPr>
            </w:pPr>
            <w:r w:rsidRPr="00A02CDC">
              <w:rPr>
                <w:rFonts w:eastAsia="Arial" w:cs="Arial"/>
              </w:rPr>
              <w:t>Multimodal/Complete Streets Connections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1E1E209B"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10</w:t>
            </w:r>
          </w:p>
        </w:tc>
      </w:tr>
      <w:tr w:rsidR="00A02CDC" w14:paraId="6E0E5650"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1070A0E7" w14:textId="77777777" w:rsidR="00A02CDC" w:rsidRPr="00A02CDC" w:rsidRDefault="00A02CDC" w:rsidP="000651D8">
            <w:pPr>
              <w:pStyle w:val="ListParagraph"/>
              <w:spacing w:after="0" w:line="259" w:lineRule="auto"/>
              <w:rPr>
                <w:rFonts w:eastAsia="Arial" w:cs="Arial"/>
              </w:rPr>
            </w:pPr>
            <w:r w:rsidRPr="00A02CDC">
              <w:rPr>
                <w:rFonts w:eastAsia="Arial" w:cs="Arial"/>
                <w:b w:val="0"/>
                <w:bCs w:val="0"/>
              </w:rPr>
              <w:t>Measure A – New or improved multimodal connections (transit, bicycle, pedestrian, TDM elements)</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4BD96541"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2ED41B40"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371223E3" w14:textId="77777777" w:rsidR="00A02CDC" w:rsidRPr="00A02CDC" w:rsidRDefault="00A02CDC" w:rsidP="00A02CDC">
            <w:pPr>
              <w:pStyle w:val="ListParagraph"/>
              <w:numPr>
                <w:ilvl w:val="0"/>
                <w:numId w:val="42"/>
              </w:numPr>
              <w:spacing w:after="0"/>
              <w:contextualSpacing w:val="0"/>
              <w:rPr>
                <w:rFonts w:eastAsia="Arial" w:cs="Arial"/>
                <w:strike/>
              </w:rPr>
            </w:pPr>
            <w:r w:rsidRPr="00A02CDC">
              <w:rPr>
                <w:rFonts w:eastAsia="Arial" w:cs="Arial"/>
              </w:rPr>
              <w:t>Freight</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4DF799CD"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5</w:t>
            </w:r>
          </w:p>
        </w:tc>
      </w:tr>
      <w:tr w:rsidR="00A02CDC" w14:paraId="12FA0F85"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1A262E8F" w14:textId="77777777" w:rsidR="00A02CDC" w:rsidRPr="00A02CDC" w:rsidRDefault="00A02CDC" w:rsidP="000651D8">
            <w:pPr>
              <w:pStyle w:val="ListParagraph"/>
              <w:spacing w:after="0"/>
              <w:rPr>
                <w:rFonts w:eastAsia="Arial" w:cs="Arial"/>
              </w:rPr>
            </w:pPr>
            <w:r w:rsidRPr="00A02CDC">
              <w:rPr>
                <w:b w:val="0"/>
                <w:bCs w:val="0"/>
              </w:rPr>
              <w:t xml:space="preserve">Measure A – Regional Truck Corridor Study tiers </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45D4E24A"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5</w:t>
            </w:r>
          </w:p>
        </w:tc>
      </w:tr>
      <w:tr w:rsidR="00A02CDC" w14:paraId="62FF0630"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1E32249B" w14:textId="77777777" w:rsidR="00A02CDC" w:rsidRPr="00A02CDC" w:rsidRDefault="00A02CDC" w:rsidP="00A02CDC">
            <w:pPr>
              <w:pStyle w:val="ListParagraph"/>
              <w:numPr>
                <w:ilvl w:val="0"/>
                <w:numId w:val="42"/>
              </w:numPr>
              <w:spacing w:after="0"/>
              <w:rPr>
                <w:rFonts w:eastAsia="Arial" w:cs="Arial"/>
              </w:rPr>
            </w:pPr>
            <w:r w:rsidRPr="00A02CDC">
              <w:rPr>
                <w:rFonts w:eastAsia="Arial" w:cs="Arial"/>
              </w:rPr>
              <w:t>Natural Systems Protection and Restoration</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04B30622"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5</w:t>
            </w:r>
          </w:p>
        </w:tc>
      </w:tr>
      <w:tr w:rsidR="00A02CDC" w14:paraId="72416E58"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tcPr>
          <w:p w14:paraId="6C9D5659" w14:textId="77777777" w:rsidR="00A02CDC" w:rsidRPr="00A02CDC" w:rsidRDefault="00A02CDC" w:rsidP="000651D8">
            <w:pPr>
              <w:spacing w:after="0"/>
              <w:ind w:left="720"/>
            </w:pPr>
            <w:r w:rsidRPr="00A02CDC">
              <w:rPr>
                <w:rFonts w:eastAsia="Arial" w:cs="Arial"/>
                <w:b w:val="0"/>
                <w:bCs w:val="0"/>
              </w:rPr>
              <w:t>Measure A – Flood mitigation, stormwater treatment, other environmental benefits, etc.</w:t>
            </w:r>
          </w:p>
        </w:tc>
        <w:tc>
          <w:tcPr>
            <w:tcW w:w="1334" w:type="dxa"/>
            <w:tcBorders>
              <w:top w:val="nil"/>
              <w:bottom w:val="single" w:sz="6" w:space="0" w:color="4F81BD" w:themeColor="accent1"/>
              <w:right w:val="single" w:sz="6" w:space="0" w:color="4F81BD" w:themeColor="accent1"/>
            </w:tcBorders>
            <w:tcMar>
              <w:left w:w="90" w:type="dxa"/>
              <w:right w:w="90" w:type="dxa"/>
            </w:tcMar>
          </w:tcPr>
          <w:p w14:paraId="6B067849"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5</w:t>
            </w:r>
          </w:p>
        </w:tc>
      </w:tr>
      <w:tr w:rsidR="00A02CDC" w14:paraId="061B719B"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5333207A" w14:textId="77777777" w:rsidR="00A02CDC" w:rsidRPr="00A02CDC" w:rsidRDefault="00A02CDC" w:rsidP="00A02CDC">
            <w:pPr>
              <w:pStyle w:val="ListParagraph"/>
              <w:numPr>
                <w:ilvl w:val="0"/>
                <w:numId w:val="42"/>
              </w:numPr>
              <w:spacing w:after="0"/>
              <w:contextualSpacing w:val="0"/>
              <w:rPr>
                <w:rFonts w:eastAsia="Arial" w:cs="Arial"/>
              </w:rPr>
            </w:pPr>
            <w:r w:rsidRPr="00A02CDC">
              <w:rPr>
                <w:rFonts w:eastAsia="Arial" w:cs="Arial"/>
              </w:rPr>
              <w:t>Community Considerations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6B71C18F"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20</w:t>
            </w:r>
          </w:p>
        </w:tc>
      </w:tr>
      <w:tr w:rsidR="00A02CDC" w14:paraId="767869FF"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65E1F516" w14:textId="77777777" w:rsidR="00A02CDC" w:rsidRPr="00A02CDC" w:rsidRDefault="00A02CDC" w:rsidP="000651D8">
            <w:pPr>
              <w:pStyle w:val="ListParagraph"/>
              <w:spacing w:after="0"/>
              <w:contextualSpacing w:val="0"/>
              <w:rPr>
                <w:rFonts w:eastAsia="Arial" w:cs="Arial"/>
              </w:rPr>
            </w:pPr>
            <w:r w:rsidRPr="00A02CDC">
              <w:rPr>
                <w:b w:val="0"/>
                <w:bCs w:val="0"/>
              </w:rPr>
              <w:t>Measure A – Community data and context</w:t>
            </w:r>
          </w:p>
        </w:tc>
        <w:tc>
          <w:tcPr>
            <w:tcW w:w="1334" w:type="dxa"/>
            <w:tcBorders>
              <w:top w:val="nil"/>
              <w:bottom w:val="nil"/>
              <w:right w:val="single" w:sz="6" w:space="0" w:color="4F81BD" w:themeColor="accent1"/>
            </w:tcBorders>
            <w:tcMar>
              <w:left w:w="90" w:type="dxa"/>
              <w:right w:w="90" w:type="dxa"/>
            </w:tcMar>
            <w:vAlign w:val="center"/>
          </w:tcPr>
          <w:p w14:paraId="28844C86"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t>6.7</w:t>
            </w:r>
          </w:p>
        </w:tc>
      </w:tr>
      <w:tr w:rsidR="00A02CDC" w14:paraId="22FEE033"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04875A1F" w14:textId="77777777" w:rsidR="00A02CDC" w:rsidRPr="00A02CDC" w:rsidRDefault="00A02CDC" w:rsidP="000651D8">
            <w:pPr>
              <w:pStyle w:val="ListParagraph"/>
              <w:spacing w:after="0"/>
              <w:contextualSpacing w:val="0"/>
              <w:rPr>
                <w:rFonts w:eastAsia="Arial" w:cs="Arial"/>
              </w:rPr>
            </w:pPr>
            <w:r w:rsidRPr="00A02CDC">
              <w:rPr>
                <w:b w:val="0"/>
                <w:bCs w:val="0"/>
              </w:rPr>
              <w:t>Measure B – Community need and future engagement</w:t>
            </w:r>
          </w:p>
        </w:tc>
        <w:tc>
          <w:tcPr>
            <w:tcW w:w="1334" w:type="dxa"/>
            <w:tcBorders>
              <w:top w:val="nil"/>
              <w:bottom w:val="nil"/>
              <w:right w:val="single" w:sz="6" w:space="0" w:color="4F81BD" w:themeColor="accent1"/>
            </w:tcBorders>
            <w:tcMar>
              <w:left w:w="90" w:type="dxa"/>
              <w:right w:w="90" w:type="dxa"/>
            </w:tcMar>
            <w:vAlign w:val="center"/>
          </w:tcPr>
          <w:p w14:paraId="5798FBC0"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t>6.7</w:t>
            </w:r>
          </w:p>
        </w:tc>
      </w:tr>
      <w:tr w:rsidR="00A02CDC" w14:paraId="780FDC32" w14:textId="77777777" w:rsidTr="002C459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vAlign w:val="center"/>
          </w:tcPr>
          <w:p w14:paraId="26EBCA23" w14:textId="77777777" w:rsidR="00A02CDC" w:rsidRPr="00A02CDC" w:rsidRDefault="00A02CDC" w:rsidP="000651D8">
            <w:pPr>
              <w:pStyle w:val="ListParagraph"/>
              <w:spacing w:after="0"/>
              <w:contextualSpacing w:val="0"/>
              <w:rPr>
                <w:rFonts w:eastAsia="Arial" w:cs="Arial"/>
              </w:rPr>
            </w:pPr>
            <w:r w:rsidRPr="00A02CDC">
              <w:rPr>
                <w:b w:val="0"/>
                <w:bCs w:val="0"/>
              </w:rPr>
              <w:t>Measure C – Community benefits</w:t>
            </w:r>
          </w:p>
        </w:tc>
        <w:tc>
          <w:tcPr>
            <w:tcW w:w="1334" w:type="dxa"/>
            <w:tcBorders>
              <w:top w:val="nil"/>
              <w:bottom w:val="single" w:sz="6" w:space="0" w:color="4F81BD" w:themeColor="accent1"/>
              <w:right w:val="single" w:sz="6" w:space="0" w:color="4F81BD" w:themeColor="accent1"/>
            </w:tcBorders>
            <w:tcMar>
              <w:left w:w="90" w:type="dxa"/>
              <w:right w:w="90" w:type="dxa"/>
            </w:tcMar>
            <w:vAlign w:val="center"/>
          </w:tcPr>
          <w:p w14:paraId="3EB670BD"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t>6.7</w:t>
            </w:r>
          </w:p>
        </w:tc>
      </w:tr>
      <w:tr w:rsidR="00A02CDC" w14:paraId="43150908" w14:textId="77777777" w:rsidTr="002C459F">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137F6CB1" w14:textId="77777777" w:rsidR="00A02CDC" w:rsidRPr="00A02CDC" w:rsidRDefault="00A02CDC" w:rsidP="000651D8">
            <w:pPr>
              <w:spacing w:after="0"/>
              <w:rPr>
                <w:rFonts w:eastAsia="Arial" w:cs="Arial"/>
              </w:rPr>
            </w:pPr>
            <w:r w:rsidRPr="00A02CDC">
              <w:rPr>
                <w:rFonts w:eastAsia="Arial" w:cs="Arial"/>
              </w:rPr>
              <w:t>Total</w:t>
            </w:r>
          </w:p>
        </w:tc>
        <w:tc>
          <w:tcPr>
            <w:tcW w:w="1334"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1A7985F7"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100</w:t>
            </w:r>
          </w:p>
        </w:tc>
      </w:tr>
    </w:tbl>
    <w:p w14:paraId="19084982" w14:textId="77777777" w:rsidR="00A02CDC" w:rsidRDefault="00A02CDC" w:rsidP="00A02CDC">
      <w:pPr>
        <w:rPr>
          <w:rFonts w:eastAsia="Arial"/>
          <w:b/>
          <w:bCs/>
        </w:rPr>
      </w:pPr>
    </w:p>
    <w:p w14:paraId="6DF8AC48" w14:textId="77777777" w:rsidR="00A02CDC" w:rsidRDefault="00A02CDC" w:rsidP="00A02CDC">
      <w:pPr>
        <w:pStyle w:val="Heading1"/>
      </w:pPr>
      <w:r w:rsidRPr="7B4E6A66">
        <w:lastRenderedPageBreak/>
        <w:t xml:space="preserve">Examples of Eligible Projects </w:t>
      </w:r>
    </w:p>
    <w:p w14:paraId="77F63EDD" w14:textId="77777777" w:rsidR="00A02CDC" w:rsidRPr="00A02CDC" w:rsidRDefault="00A02CDC" w:rsidP="00A02CDC">
      <w:pPr>
        <w:pStyle w:val="ListBullet"/>
        <w:tabs>
          <w:tab w:val="clear" w:pos="540"/>
        </w:tabs>
        <w:spacing w:after="240"/>
        <w:contextualSpacing/>
      </w:pPr>
      <w:r w:rsidRPr="00A02CDC">
        <w:t xml:space="preserve">New interchanges, including converting an at-grade intersection to a grade-separated one or constructing an interchange where no intersection currently exists </w:t>
      </w:r>
    </w:p>
    <w:p w14:paraId="3CD6961A" w14:textId="77777777" w:rsidR="00A02CDC" w:rsidRPr="00A02CDC" w:rsidRDefault="00A02CDC" w:rsidP="00A02CDC">
      <w:pPr>
        <w:pStyle w:val="ListBullet"/>
        <w:tabs>
          <w:tab w:val="clear" w:pos="540"/>
        </w:tabs>
        <w:spacing w:after="240"/>
        <w:contextualSpacing/>
        <w:rPr>
          <w:b/>
          <w:bCs/>
        </w:rPr>
      </w:pPr>
      <w:r w:rsidRPr="00A02CDC">
        <w:t>New hybrid interchanges where only some movements are grade separated</w:t>
      </w:r>
    </w:p>
    <w:p w14:paraId="0D00AE7F" w14:textId="77777777" w:rsidR="00F10C17" w:rsidRDefault="00F10C17" w:rsidP="00F10C17">
      <w:pPr>
        <w:pStyle w:val="Heading2"/>
      </w:pPr>
      <w:r>
        <w:t>Note:</w:t>
      </w:r>
    </w:p>
    <w:p w14:paraId="0F4939FE" w14:textId="4A0F7474" w:rsidR="00A02CDC" w:rsidRPr="00A02CDC" w:rsidRDefault="00A02CDC" w:rsidP="00A02CDC">
      <w:pPr>
        <w:rPr>
          <w:rFonts w:eastAsia="Arial"/>
        </w:rPr>
      </w:pPr>
      <w:r w:rsidRPr="00A02CDC">
        <w:rPr>
          <w:rFonts w:eastAsia="Arial"/>
          <w:b/>
          <w:bCs/>
        </w:rPr>
        <w:t>New State Law:</w:t>
      </w:r>
      <w:r w:rsidRPr="00A02CDC">
        <w:rPr>
          <w:rFonts w:eastAsia="Arial"/>
        </w:rPr>
        <w:t xml:space="preserve"> Projects located on the Minnesota trunk highway system that have a total cost (including design and engineering and right-of-way costs) greater than $15 million and are either new interchange projects or add 2,500 feet of lane miles or more are required to perform a transportation greenhouse gas emissions impact assessment per MN Statutes 161.178</w:t>
      </w:r>
      <w:r w:rsidRPr="00A02CDC">
        <w:rPr>
          <w:rFonts w:eastAsia="Arial"/>
        </w:rPr>
        <w:footnoteReference w:id="3"/>
      </w:r>
      <w:r w:rsidRPr="00A02CDC">
        <w:rPr>
          <w:rFonts w:eastAsia="Arial"/>
        </w:rPr>
        <w:t>. This law requires a greenhouse gas impact assessment of the project and development of an offset plan before inclusion in the Transportation Improvement Program (TIP). The assessment and offset plan will need to be reviewed by the Metropolitan Council and Transportation Greenhouse Gas Emissions Impact Assessment Technical Advisory Committee. The Minnesota Commissioner of Transportation will approve the project to be included in the TIP.</w:t>
      </w:r>
    </w:p>
    <w:p w14:paraId="074270E3" w14:textId="71280B95" w:rsidR="00A02CDC" w:rsidRPr="00A02CDC" w:rsidRDefault="00A02CDC" w:rsidP="00A02CDC">
      <w:pPr>
        <w:rPr>
          <w:rFonts w:eastAsia="Arial"/>
        </w:rPr>
      </w:pPr>
      <w:r w:rsidRPr="00A02CDC">
        <w:rPr>
          <w:rFonts w:eastAsia="Arial"/>
        </w:rPr>
        <w:t xml:space="preserve">Prior to Regional Solicitation application submittal, project proposers will need to determine project emissions impacts and identify vehicle miles </w:t>
      </w:r>
      <w:proofErr w:type="gramStart"/>
      <w:r w:rsidRPr="00A02CDC">
        <w:rPr>
          <w:rFonts w:eastAsia="Arial"/>
        </w:rPr>
        <w:t>traveled</w:t>
      </w:r>
      <w:proofErr w:type="gramEnd"/>
      <w:r w:rsidRPr="00A02CDC">
        <w:rPr>
          <w:rFonts w:eastAsia="Arial"/>
        </w:rPr>
        <w:t xml:space="preserve"> (VMT) and emissions offsets. Then, TAB will add in offsets generated from other selected Regional Solicitation </w:t>
      </w:r>
      <w:r w:rsidRPr="00A02CDC">
        <w:rPr>
          <w:rFonts w:eastAsia="Arial" w:cs="Arial"/>
        </w:rPr>
        <w:t xml:space="preserve">and Active Transportation </w:t>
      </w:r>
      <w:r w:rsidRPr="00A02CDC">
        <w:rPr>
          <w:rFonts w:eastAsia="Arial"/>
        </w:rPr>
        <w:t xml:space="preserve">projects. The combined local and regional offsets will form the basis of the total offset plan to be reviewed by the Metropolitan Council and certified by MnDOT and its Technical Advisory Committee at least 90 days prior to the project entering the draft TIP. Project sponsors are encouraged to contact Met Council and MnDOT staff several months before the Regional Solicitation application deadline. </w:t>
      </w:r>
    </w:p>
    <w:p w14:paraId="39BB3D1B" w14:textId="513EA7D2" w:rsidR="00A02CDC" w:rsidRDefault="00A02CDC">
      <w:pPr>
        <w:spacing w:after="0"/>
      </w:pPr>
      <w:r>
        <w:br w:type="page"/>
      </w:r>
    </w:p>
    <w:p w14:paraId="04539A80" w14:textId="77777777" w:rsidR="00A02CDC" w:rsidRDefault="00A02CDC" w:rsidP="00A02CDC">
      <w:pPr>
        <w:pStyle w:val="ReportTitle"/>
      </w:pPr>
      <w:r>
        <w:lastRenderedPageBreak/>
        <w:t>Bridge Connections</w:t>
      </w:r>
    </w:p>
    <w:p w14:paraId="165ADA46" w14:textId="77777777" w:rsidR="00A02CDC" w:rsidRPr="00C57FEB" w:rsidRDefault="00A02CDC" w:rsidP="00A02CDC">
      <w:pPr>
        <w:pStyle w:val="Heading1"/>
        <w:spacing w:before="180"/>
      </w:pPr>
      <w:r w:rsidRPr="00C57FEB">
        <w:t>Prioritizing Criteria and Measures</w:t>
      </w:r>
    </w:p>
    <w:p w14:paraId="367464A1" w14:textId="7E33B45F" w:rsidR="00A02CDC" w:rsidRPr="00A02CDC" w:rsidRDefault="00A02CDC" w:rsidP="00A02CDC">
      <w:pPr>
        <w:rPr>
          <w:rFonts w:eastAsia="Arial"/>
        </w:rPr>
      </w:pPr>
      <w:r w:rsidRPr="00A02CDC">
        <w:rPr>
          <w:rFonts w:eastAsia="Arial"/>
          <w:b/>
          <w:bCs/>
        </w:rPr>
        <w:t xml:space="preserve">2050 TPP Goal: </w:t>
      </w:r>
      <w:r w:rsidRPr="00A02CDC">
        <w:rPr>
          <w:rFonts w:eastAsia="Arial"/>
        </w:rPr>
        <w:t xml:space="preserve">Our </w:t>
      </w:r>
      <w:r w:rsidR="00F012C6">
        <w:rPr>
          <w:rFonts w:eastAsia="Arial"/>
        </w:rPr>
        <w:t>r</w:t>
      </w:r>
      <w:r w:rsidRPr="00A02CDC">
        <w:rPr>
          <w:rFonts w:eastAsia="Arial"/>
        </w:rPr>
        <w:t xml:space="preserve">egion is </w:t>
      </w:r>
      <w:r w:rsidR="00F012C6">
        <w:rPr>
          <w:rFonts w:eastAsia="Arial"/>
        </w:rPr>
        <w:t>d</w:t>
      </w:r>
      <w:r w:rsidRPr="00A02CDC">
        <w:rPr>
          <w:rFonts w:eastAsia="Arial"/>
        </w:rPr>
        <w:t xml:space="preserve">ynamic and </w:t>
      </w:r>
      <w:r w:rsidR="00F012C6">
        <w:rPr>
          <w:rFonts w:eastAsia="Arial"/>
        </w:rPr>
        <w:t>r</w:t>
      </w:r>
      <w:r w:rsidRPr="00A02CDC">
        <w:rPr>
          <w:rFonts w:eastAsia="Arial"/>
        </w:rPr>
        <w:t>esilient</w:t>
      </w:r>
    </w:p>
    <w:p w14:paraId="2A454CFB" w14:textId="77777777" w:rsidR="00A02CDC" w:rsidRPr="00A02CDC" w:rsidRDefault="00A02CDC" w:rsidP="00A02CDC">
      <w:pPr>
        <w:spacing w:after="0"/>
        <w:rPr>
          <w:rFonts w:eastAsia="Arial"/>
          <w:b/>
          <w:bCs/>
        </w:rPr>
      </w:pPr>
      <w:r w:rsidRPr="00A02CDC">
        <w:rPr>
          <w:rFonts w:eastAsia="Arial"/>
          <w:b/>
          <w:bCs/>
        </w:rPr>
        <w:t xml:space="preserve">2050 TPP Policies or Objectives: </w:t>
      </w:r>
    </w:p>
    <w:p w14:paraId="3FA70084" w14:textId="77777777" w:rsidR="00A02CDC" w:rsidRPr="002A61C8" w:rsidRDefault="00A02CDC" w:rsidP="00A02CDC">
      <w:pPr>
        <w:pStyle w:val="ListBullet"/>
        <w:tabs>
          <w:tab w:val="clear" w:pos="540"/>
        </w:tabs>
        <w:spacing w:after="240"/>
        <w:contextualSpacing/>
      </w:pPr>
      <w:r w:rsidRPr="002A61C8">
        <w:t>People and businesses trust that transportation infrastructure and services will withstand and recover quickly from natural and human-caused disruptions.</w:t>
      </w:r>
    </w:p>
    <w:p w14:paraId="04CB9ECD" w14:textId="77777777" w:rsidR="00A02CDC" w:rsidRPr="002A61C8" w:rsidRDefault="00A02CDC" w:rsidP="00A02CDC">
      <w:pPr>
        <w:pStyle w:val="ListBullet"/>
        <w:tabs>
          <w:tab w:val="clear" w:pos="540"/>
        </w:tabs>
        <w:spacing w:after="240"/>
        <w:contextualSpacing/>
      </w:pPr>
      <w:r w:rsidRPr="002A61C8">
        <w:t xml:space="preserve">People have better travel options </w:t>
      </w:r>
      <w:proofErr w:type="gramStart"/>
      <w:r w:rsidRPr="002A61C8">
        <w:t>beyond</w:t>
      </w:r>
      <w:proofErr w:type="gramEnd"/>
      <w:r w:rsidRPr="002A61C8">
        <w:t xml:space="preserve"> driving alone to meet their daily needs, with a focus on improving travel times, reliability, directness, and affordability.</w:t>
      </w:r>
    </w:p>
    <w:p w14:paraId="1297BF98" w14:textId="77777777" w:rsidR="00A02CDC" w:rsidRPr="002A61C8" w:rsidRDefault="00A02CDC" w:rsidP="00A02CDC">
      <w:pPr>
        <w:pStyle w:val="ListBullet"/>
        <w:tabs>
          <w:tab w:val="clear" w:pos="540"/>
        </w:tabs>
        <w:spacing w:after="240"/>
        <w:contextualSpacing/>
      </w:pPr>
      <w:r w:rsidRPr="002A61C8">
        <w:t>People do not die or face life-changing injuries when using any form of transportation.</w:t>
      </w:r>
    </w:p>
    <w:p w14:paraId="629DE8A2" w14:textId="77777777" w:rsidR="00A02CDC" w:rsidRPr="002A61C8" w:rsidRDefault="00A02CDC" w:rsidP="00A02CDC">
      <w:pPr>
        <w:pStyle w:val="ListBullet"/>
        <w:tabs>
          <w:tab w:val="clear" w:pos="540"/>
        </w:tabs>
        <w:spacing w:after="240"/>
        <w:contextualSpacing/>
      </w:pPr>
      <w:r w:rsidRPr="002A61C8">
        <w:t>People and businesses can rely on predictable and cost-effective movement of freight and goods.</w:t>
      </w:r>
    </w:p>
    <w:p w14:paraId="5EF27474" w14:textId="77777777" w:rsidR="00A02CDC" w:rsidRPr="002A61C8" w:rsidRDefault="00A02CDC" w:rsidP="00A02CDC">
      <w:pPr>
        <w:pStyle w:val="ListBullet"/>
        <w:tabs>
          <w:tab w:val="clear" w:pos="540"/>
        </w:tabs>
        <w:spacing w:after="240"/>
        <w:contextualSpacing/>
      </w:pPr>
      <w:r w:rsidRPr="002A61C8">
        <w:t>The region’s transportation system protects, restores, and enhances natural systems (air, water, vegetation, and habitat quality).</w:t>
      </w:r>
    </w:p>
    <w:p w14:paraId="166A6BAC" w14:textId="77FF06D4" w:rsidR="00A02CDC" w:rsidRPr="00A02CDC" w:rsidRDefault="00A02CDC" w:rsidP="00A02CDC">
      <w:pPr>
        <w:rPr>
          <w:rFonts w:eastAsia="Arial"/>
        </w:rPr>
      </w:pPr>
      <w:r w:rsidRPr="00A02CDC">
        <w:rPr>
          <w:rFonts w:eastAsia="Arial"/>
          <w:b/>
          <w:bCs/>
        </w:rPr>
        <w:t>Category Definition:</w:t>
      </w:r>
      <w:r w:rsidRPr="00A02CDC">
        <w:rPr>
          <w:rFonts w:eastAsia="Arial"/>
        </w:rPr>
        <w:t xml:space="preserve"> The Bridge Connections application category is intended to fund bridge projects that increase system resilience by maintaining connections, implement a complete streets approach, encourage natural resource protection, and incorporate safety features. </w:t>
      </w:r>
      <w:r w:rsidRPr="00A02CDC">
        <w:t>The bridge must be 20 feet</w:t>
      </w:r>
      <w:r w:rsidR="00FA730E">
        <w:t xml:space="preserve"> </w:t>
      </w:r>
      <w:r w:rsidRPr="00A02CDC">
        <w:t xml:space="preserve">or longer </w:t>
      </w:r>
      <w:r w:rsidR="00F07705">
        <w:t xml:space="preserve">(using </w:t>
      </w:r>
      <w:r w:rsidR="00F07705">
        <w:rPr>
          <w:i/>
          <w:iCs/>
        </w:rPr>
        <w:t>Structure Length</w:t>
      </w:r>
      <w:r w:rsidR="00F07705">
        <w:t xml:space="preserve"> from the Inventory Report)</w:t>
      </w:r>
      <w:r w:rsidR="00F07705" w:rsidRPr="00A02CDC">
        <w:t xml:space="preserve"> </w:t>
      </w:r>
      <w:r w:rsidRPr="00A02CDC">
        <w:t xml:space="preserve">and must have a Local Planning Index (LPI) of less than 60 </w:t>
      </w:r>
      <w:r w:rsidRPr="00A02CDC">
        <w:rPr>
          <w:u w:val="single"/>
        </w:rPr>
        <w:t>OR</w:t>
      </w:r>
      <w:r w:rsidRPr="00A02CDC">
        <w:t xml:space="preserve"> a National Bridge Inventory (NBI) Rating of 3 or less for either Deck Geometry, Approach Roadway, or Waterway Adequacy as reported in the most recent </w:t>
      </w:r>
      <w:hyperlink r:id="rId62">
        <w:r w:rsidRPr="002A61C8">
          <w:rPr>
            <w:rStyle w:val="Hyperlink"/>
          </w:rPr>
          <w:t>Minnesota Structure Inventory Report</w:t>
        </w:r>
      </w:hyperlink>
      <w:r w:rsidRPr="002A61C8">
        <w:rPr>
          <w:color w:val="005DAA"/>
        </w:rPr>
        <w:t xml:space="preserve">. </w:t>
      </w:r>
    </w:p>
    <w:p w14:paraId="0BB15DAF" w14:textId="77777777" w:rsidR="00A02CDC" w:rsidRPr="006B65BE" w:rsidRDefault="00A02CDC" w:rsidP="00A02CDC">
      <w:pPr>
        <w:pStyle w:val="Heading1"/>
      </w:pPr>
      <w:r w:rsidRPr="4C119114">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A02CDC" w14:paraId="48ADE52E" w14:textId="77777777" w:rsidTr="00A02CD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7920" w:type="dxa"/>
            <w:tcBorders>
              <w:top w:val="single" w:sz="6" w:space="0" w:color="auto"/>
              <w:left w:val="single" w:sz="6" w:space="0" w:color="auto"/>
              <w:bottom w:val="single" w:sz="6" w:space="0" w:color="4F81BD" w:themeColor="accent1"/>
            </w:tcBorders>
            <w:tcMar>
              <w:left w:w="90" w:type="dxa"/>
              <w:right w:w="90" w:type="dxa"/>
            </w:tcMar>
            <w:vAlign w:val="bottom"/>
          </w:tcPr>
          <w:p w14:paraId="2E63BEE5" w14:textId="77777777" w:rsidR="00A02CDC" w:rsidRDefault="00A02CDC" w:rsidP="000651D8">
            <w:pPr>
              <w:spacing w:before="120" w:after="0"/>
              <w:rPr>
                <w:rFonts w:eastAsia="Arial" w:cs="Arial"/>
                <w:color w:val="FFFFFF" w:themeColor="background1"/>
              </w:rPr>
            </w:pPr>
            <w:r w:rsidRPr="01C8A018">
              <w:rPr>
                <w:rFonts w:eastAsia="Arial" w:cs="Arial"/>
                <w:color w:val="FFFFFF" w:themeColor="background1"/>
              </w:rPr>
              <w:t>Criteria and Measures</w:t>
            </w:r>
          </w:p>
        </w:tc>
        <w:tc>
          <w:tcPr>
            <w:tcW w:w="1210" w:type="dxa"/>
            <w:tcBorders>
              <w:top w:val="single" w:sz="6" w:space="0" w:color="auto"/>
              <w:bottom w:val="single" w:sz="6" w:space="0" w:color="4F81BD" w:themeColor="accent1"/>
              <w:right w:val="single" w:sz="6" w:space="0" w:color="auto"/>
            </w:tcBorders>
            <w:tcMar>
              <w:left w:w="90" w:type="dxa"/>
              <w:right w:w="90" w:type="dxa"/>
            </w:tcMar>
            <w:vAlign w:val="bottom"/>
          </w:tcPr>
          <w:p w14:paraId="439F1322" w14:textId="77777777" w:rsidR="00A02CDC" w:rsidRDefault="00A02CDC" w:rsidP="000651D8">
            <w:pPr>
              <w:spacing w:before="120" w:after="0"/>
              <w:jc w:val="cente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rPr>
            </w:pPr>
            <w:r w:rsidRPr="068175C7">
              <w:rPr>
                <w:rFonts w:eastAsia="Arial" w:cs="Arial"/>
                <w:color w:val="FFFFFF" w:themeColor="background1"/>
              </w:rPr>
              <w:t>%</w:t>
            </w:r>
          </w:p>
        </w:tc>
      </w:tr>
      <w:tr w:rsidR="00A02CDC" w14:paraId="7255E1FF"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6" w:space="0" w:color="4F81BD" w:themeColor="accent1"/>
              <w:left w:val="single" w:sz="6" w:space="0" w:color="4F81BD" w:themeColor="accent1"/>
              <w:bottom w:val="nil"/>
            </w:tcBorders>
            <w:tcMar>
              <w:left w:w="90" w:type="dxa"/>
              <w:right w:w="90" w:type="dxa"/>
            </w:tcMar>
            <w:vAlign w:val="center"/>
          </w:tcPr>
          <w:p w14:paraId="523DE9C8" w14:textId="77777777" w:rsidR="00A02CDC" w:rsidRPr="00A02CDC" w:rsidRDefault="00A02CDC" w:rsidP="00A02CDC">
            <w:pPr>
              <w:pStyle w:val="ListParagraph"/>
              <w:numPr>
                <w:ilvl w:val="0"/>
                <w:numId w:val="43"/>
              </w:numPr>
              <w:spacing w:after="0"/>
              <w:rPr>
                <w:rFonts w:eastAsia="Arial" w:cs="Arial"/>
              </w:rPr>
            </w:pPr>
            <w:r w:rsidRPr="00A02CDC">
              <w:t>System Resilience</w:t>
            </w:r>
          </w:p>
        </w:tc>
        <w:tc>
          <w:tcPr>
            <w:tcW w:w="1210" w:type="dxa"/>
            <w:tcBorders>
              <w:top w:val="single" w:sz="6" w:space="0" w:color="4F81BD" w:themeColor="accent1"/>
              <w:bottom w:val="nil"/>
              <w:right w:val="single" w:sz="6" w:space="0" w:color="4F81BD" w:themeColor="accent1"/>
            </w:tcBorders>
            <w:tcMar>
              <w:left w:w="90" w:type="dxa"/>
              <w:right w:w="90" w:type="dxa"/>
            </w:tcMar>
          </w:tcPr>
          <w:p w14:paraId="2C3E6FDB"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rPr>
                <w:rFonts w:eastAsia="Arial" w:cs="Arial"/>
                <w:b/>
                <w:bCs/>
              </w:rPr>
              <w:t>45</w:t>
            </w:r>
          </w:p>
        </w:tc>
      </w:tr>
      <w:tr w:rsidR="00A02CDC" w14:paraId="54B5069D"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63CBF1BD" w14:textId="77777777" w:rsidR="00A02CDC" w:rsidRPr="00A02CDC" w:rsidRDefault="00A02CDC" w:rsidP="000651D8">
            <w:pPr>
              <w:pStyle w:val="ListParagraph"/>
              <w:spacing w:after="0"/>
              <w:rPr>
                <w:rFonts w:eastAsia="Arial" w:cs="Arial"/>
              </w:rPr>
            </w:pPr>
            <w:r w:rsidRPr="00A02CDC">
              <w:rPr>
                <w:b w:val="0"/>
                <w:bCs w:val="0"/>
              </w:rPr>
              <w:t>Measure A – Detour length</w:t>
            </w:r>
          </w:p>
        </w:tc>
        <w:tc>
          <w:tcPr>
            <w:tcW w:w="1210" w:type="dxa"/>
            <w:tcBorders>
              <w:top w:val="nil"/>
              <w:bottom w:val="nil"/>
              <w:right w:val="single" w:sz="6" w:space="0" w:color="4F81BD" w:themeColor="accent1"/>
            </w:tcBorders>
            <w:tcMar>
              <w:left w:w="90" w:type="dxa"/>
              <w:right w:w="90" w:type="dxa"/>
            </w:tcMar>
          </w:tcPr>
          <w:p w14:paraId="2205D47A"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02CDC">
              <w:rPr>
                <w:rFonts w:eastAsia="Arial" w:cs="Arial"/>
              </w:rPr>
              <w:t>15</w:t>
            </w:r>
          </w:p>
        </w:tc>
      </w:tr>
      <w:tr w:rsidR="00A02CDC" w14:paraId="19C868E4"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vAlign w:val="center"/>
          </w:tcPr>
          <w:p w14:paraId="3FCB9B03" w14:textId="77777777" w:rsidR="00A02CDC" w:rsidRPr="00A02CDC" w:rsidRDefault="00A02CDC" w:rsidP="000651D8">
            <w:pPr>
              <w:pStyle w:val="ListParagraph"/>
              <w:spacing w:after="0"/>
            </w:pPr>
            <w:r w:rsidRPr="00A02CDC">
              <w:rPr>
                <w:b w:val="0"/>
                <w:bCs w:val="0"/>
              </w:rPr>
              <w:t>Measure B – Detour impact</w:t>
            </w:r>
          </w:p>
          <w:p w14:paraId="0106A41A" w14:textId="77777777" w:rsidR="00A02CDC" w:rsidRPr="00A02CDC" w:rsidRDefault="00A02CDC" w:rsidP="000651D8">
            <w:pPr>
              <w:pStyle w:val="ListParagraph"/>
              <w:spacing w:after="0"/>
              <w:rPr>
                <w:rFonts w:eastAsia="Arial" w:cs="Arial"/>
              </w:rPr>
            </w:pPr>
            <w:r w:rsidRPr="00A02CDC">
              <w:rPr>
                <w:b w:val="0"/>
                <w:bCs w:val="0"/>
              </w:rPr>
              <w:t>Measure C – Bridge posting for load restrictions</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76D21D09"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15</w:t>
            </w:r>
          </w:p>
          <w:p w14:paraId="75B0C6D2"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15</w:t>
            </w:r>
          </w:p>
        </w:tc>
      </w:tr>
      <w:tr w:rsidR="00A02CDC" w14:paraId="20D41C71"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386CBD62" w14:textId="77777777" w:rsidR="00A02CDC" w:rsidRPr="00A02CDC" w:rsidRDefault="00A02CDC" w:rsidP="00A02CDC">
            <w:pPr>
              <w:pStyle w:val="ListParagraph"/>
              <w:numPr>
                <w:ilvl w:val="0"/>
                <w:numId w:val="43"/>
              </w:numPr>
              <w:spacing w:after="0"/>
              <w:rPr>
                <w:rFonts w:eastAsia="Arial" w:cs="Arial"/>
              </w:rPr>
            </w:pPr>
            <w:r w:rsidRPr="00A02CDC">
              <w:t>Multimodal/Complete Streets Connections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3EAA282D"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15</w:t>
            </w:r>
          </w:p>
        </w:tc>
      </w:tr>
      <w:tr w:rsidR="00A02CDC" w14:paraId="561FB266"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0453E994" w14:textId="77777777" w:rsidR="00A02CDC" w:rsidRPr="00A02CDC" w:rsidRDefault="00A02CDC" w:rsidP="000651D8">
            <w:pPr>
              <w:pStyle w:val="ListParagraph"/>
              <w:spacing w:after="0"/>
              <w:rPr>
                <w:rFonts w:eastAsia="Arial" w:cs="Arial"/>
              </w:rPr>
            </w:pPr>
            <w:r w:rsidRPr="00A02CDC">
              <w:rPr>
                <w:b w:val="0"/>
                <w:bCs w:val="0"/>
              </w:rPr>
              <w:t>Measure A – New or improved multimodal connections (transit, bicycle, pedestrian, TDM elements)</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22349408"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15</w:t>
            </w:r>
          </w:p>
        </w:tc>
      </w:tr>
      <w:tr w:rsidR="00A02CDC" w14:paraId="2993A536" w14:textId="77777777" w:rsidTr="00A02CDC">
        <w:trPr>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190BD570" w14:textId="77777777" w:rsidR="00A02CDC" w:rsidRPr="00A02CDC" w:rsidRDefault="00A02CDC" w:rsidP="00A02CDC">
            <w:pPr>
              <w:pStyle w:val="ListParagraph"/>
              <w:numPr>
                <w:ilvl w:val="0"/>
                <w:numId w:val="43"/>
              </w:numPr>
              <w:spacing w:after="0"/>
              <w:rPr>
                <w:rFonts w:eastAsia="Arial" w:cs="Arial"/>
              </w:rPr>
            </w:pPr>
            <w:r w:rsidRPr="00A02CDC">
              <w:t>Safety</w:t>
            </w:r>
          </w:p>
        </w:tc>
        <w:tc>
          <w:tcPr>
            <w:tcW w:w="1210" w:type="dxa"/>
            <w:tcBorders>
              <w:top w:val="single" w:sz="18" w:space="0" w:color="4F81BD" w:themeColor="accent1"/>
              <w:left w:val="nil"/>
              <w:bottom w:val="nil"/>
              <w:right w:val="single" w:sz="6" w:space="0" w:color="4F81BD" w:themeColor="accent1"/>
            </w:tcBorders>
            <w:tcMar>
              <w:left w:w="90" w:type="dxa"/>
              <w:right w:w="90" w:type="dxa"/>
            </w:tcMar>
          </w:tcPr>
          <w:p w14:paraId="7607F01E"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10</w:t>
            </w:r>
          </w:p>
        </w:tc>
      </w:tr>
      <w:tr w:rsidR="00A02CDC" w14:paraId="4C37063C"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2035DB44" w14:textId="77777777" w:rsidR="00A02CDC" w:rsidRPr="00A02CDC" w:rsidRDefault="00A02CDC" w:rsidP="000651D8">
            <w:pPr>
              <w:pStyle w:val="ListParagraph"/>
              <w:spacing w:after="0" w:line="259" w:lineRule="auto"/>
            </w:pPr>
            <w:r w:rsidRPr="00A02CDC">
              <w:rPr>
                <w:b w:val="0"/>
                <w:bCs w:val="0"/>
              </w:rPr>
              <w:t>Measure A – Safety improvements for people outside of vehicles</w:t>
            </w:r>
          </w:p>
        </w:tc>
        <w:tc>
          <w:tcPr>
            <w:tcW w:w="1210" w:type="dxa"/>
            <w:tcBorders>
              <w:top w:val="nil"/>
              <w:bottom w:val="nil"/>
              <w:right w:val="single" w:sz="6" w:space="0" w:color="4F81BD" w:themeColor="accent1"/>
            </w:tcBorders>
            <w:tcMar>
              <w:left w:w="90" w:type="dxa"/>
              <w:right w:w="90" w:type="dxa"/>
            </w:tcMar>
          </w:tcPr>
          <w:p w14:paraId="4D298097"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10</w:t>
            </w:r>
          </w:p>
        </w:tc>
      </w:tr>
      <w:tr w:rsidR="00A02CDC" w14:paraId="3BB97061"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75F6FC6B" w14:textId="77777777" w:rsidR="00A02CDC" w:rsidRPr="00A02CDC" w:rsidRDefault="00A02CDC" w:rsidP="00A02CDC">
            <w:pPr>
              <w:pStyle w:val="ListParagraph"/>
              <w:numPr>
                <w:ilvl w:val="0"/>
                <w:numId w:val="43"/>
              </w:numPr>
              <w:spacing w:after="0"/>
              <w:rPr>
                <w:rFonts w:eastAsia="Arial" w:cs="Arial"/>
              </w:rPr>
            </w:pPr>
            <w:r w:rsidRPr="00A02CDC">
              <w:t>Freight</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1F3E7FCC"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sidDel="002100B1">
              <w:rPr>
                <w:rFonts w:eastAsia="Arial" w:cs="Arial"/>
                <w:b/>
                <w:bCs/>
              </w:rPr>
              <w:t>5</w:t>
            </w:r>
          </w:p>
        </w:tc>
      </w:tr>
      <w:tr w:rsidR="00A02CDC" w14:paraId="6D240B9D"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541906B7" w14:textId="69DDD4F9" w:rsidR="00A02CDC" w:rsidRPr="00A02CDC" w:rsidRDefault="00A02CDC" w:rsidP="000651D8">
            <w:pPr>
              <w:pStyle w:val="ListParagraph"/>
              <w:spacing w:after="0"/>
              <w:rPr>
                <w:rFonts w:eastAsia="Arial" w:cs="Arial"/>
              </w:rPr>
            </w:pPr>
            <w:r w:rsidRPr="00A02CDC">
              <w:rPr>
                <w:b w:val="0"/>
                <w:bCs w:val="0"/>
              </w:rPr>
              <w:t xml:space="preserve">Measure A – Regional Truck Corridor Study </w:t>
            </w:r>
            <w:r w:rsidR="00FA730E">
              <w:rPr>
                <w:b w:val="0"/>
                <w:bCs w:val="0"/>
              </w:rPr>
              <w:t>t</w:t>
            </w:r>
            <w:r w:rsidRPr="00A02CDC">
              <w:rPr>
                <w:b w:val="0"/>
                <w:bCs w:val="0"/>
              </w:rPr>
              <w:t xml:space="preserve">iers </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5F236D46"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5</w:t>
            </w:r>
          </w:p>
        </w:tc>
      </w:tr>
      <w:tr w:rsidR="00A02CDC" w14:paraId="04470ED5"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1ADE8989" w14:textId="77777777" w:rsidR="00A02CDC" w:rsidRPr="00A02CDC" w:rsidRDefault="00A02CDC" w:rsidP="00A02CDC">
            <w:pPr>
              <w:pStyle w:val="ListParagraph"/>
              <w:numPr>
                <w:ilvl w:val="0"/>
                <w:numId w:val="43"/>
              </w:numPr>
              <w:spacing w:after="0"/>
            </w:pPr>
            <w:r w:rsidRPr="00A02CDC">
              <w:t>Natural Systems Protection and Restoration</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664F1E37"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5</w:t>
            </w:r>
          </w:p>
        </w:tc>
      </w:tr>
      <w:tr w:rsidR="00A02CDC" w14:paraId="5A9D5EBA"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3510B59B" w14:textId="77777777" w:rsidR="00A02CDC" w:rsidRPr="00A02CDC" w:rsidRDefault="00A02CDC" w:rsidP="000651D8">
            <w:pPr>
              <w:pStyle w:val="ListParagraph"/>
              <w:spacing w:after="0"/>
            </w:pPr>
            <w:r w:rsidRPr="00A02CDC">
              <w:rPr>
                <w:b w:val="0"/>
                <w:bCs w:val="0"/>
              </w:rPr>
              <w:t>Measure A – Flood mitigation, stormwater treatment, or other environmental benefits, etc.</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5D13C5F0"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02CDC">
              <w:rPr>
                <w:rFonts w:eastAsia="Arial" w:cs="Arial"/>
              </w:rPr>
              <w:t>5</w:t>
            </w:r>
          </w:p>
        </w:tc>
      </w:tr>
      <w:tr w:rsidR="00A02CDC" w14:paraId="1E7CD4D1"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6247FDE7" w14:textId="77777777" w:rsidR="00A02CDC" w:rsidRPr="00A02CDC" w:rsidRDefault="00A02CDC" w:rsidP="00A02CDC">
            <w:pPr>
              <w:pStyle w:val="ListParagraph"/>
              <w:numPr>
                <w:ilvl w:val="0"/>
                <w:numId w:val="43"/>
              </w:numPr>
              <w:spacing w:after="0"/>
              <w:rPr>
                <w:rFonts w:eastAsia="Arial" w:cs="Arial"/>
              </w:rPr>
            </w:pPr>
            <w:r w:rsidRPr="00A02CDC">
              <w:t>Community Considerations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7EE47C2D"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20</w:t>
            </w:r>
          </w:p>
        </w:tc>
      </w:tr>
      <w:tr w:rsidR="00A02CDC" w14:paraId="3EE94422"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35FD232E" w14:textId="77777777" w:rsidR="00A02CDC" w:rsidRPr="00A02CDC" w:rsidRDefault="00A02CDC" w:rsidP="000651D8">
            <w:pPr>
              <w:pStyle w:val="ListParagraph"/>
              <w:spacing w:after="0"/>
            </w:pPr>
            <w:r w:rsidRPr="00A02CDC">
              <w:rPr>
                <w:b w:val="0"/>
                <w:bCs w:val="0"/>
              </w:rPr>
              <w:t>Measure A – Community data and context</w:t>
            </w:r>
          </w:p>
        </w:tc>
        <w:tc>
          <w:tcPr>
            <w:tcW w:w="1210" w:type="dxa"/>
            <w:tcBorders>
              <w:top w:val="nil"/>
              <w:bottom w:val="nil"/>
              <w:right w:val="single" w:sz="6" w:space="0" w:color="4F81BD" w:themeColor="accent1"/>
            </w:tcBorders>
            <w:tcMar>
              <w:left w:w="90" w:type="dxa"/>
              <w:right w:w="90" w:type="dxa"/>
            </w:tcMar>
            <w:vAlign w:val="center"/>
          </w:tcPr>
          <w:p w14:paraId="4B3B599A"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t>6.7</w:t>
            </w:r>
          </w:p>
        </w:tc>
      </w:tr>
      <w:tr w:rsidR="00A02CDC" w14:paraId="7FF1352C"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15E7A85E" w14:textId="77777777" w:rsidR="00A02CDC" w:rsidRPr="00A02CDC" w:rsidRDefault="00A02CDC" w:rsidP="000651D8">
            <w:pPr>
              <w:pStyle w:val="ListParagraph"/>
              <w:spacing w:after="0"/>
              <w:rPr>
                <w:b w:val="0"/>
                <w:bCs w:val="0"/>
              </w:rPr>
            </w:pPr>
            <w:r w:rsidRPr="00A02CDC">
              <w:rPr>
                <w:b w:val="0"/>
                <w:bCs w:val="0"/>
              </w:rPr>
              <w:t>Measure B – Community need and future engagement</w:t>
            </w:r>
          </w:p>
        </w:tc>
        <w:tc>
          <w:tcPr>
            <w:tcW w:w="1210" w:type="dxa"/>
            <w:tcBorders>
              <w:top w:val="nil"/>
              <w:bottom w:val="nil"/>
              <w:right w:val="single" w:sz="6" w:space="0" w:color="4F81BD" w:themeColor="accent1"/>
            </w:tcBorders>
            <w:tcMar>
              <w:left w:w="90" w:type="dxa"/>
              <w:right w:w="90" w:type="dxa"/>
            </w:tcMar>
            <w:vAlign w:val="center"/>
          </w:tcPr>
          <w:p w14:paraId="7332D3B8"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t>6.7</w:t>
            </w:r>
          </w:p>
        </w:tc>
      </w:tr>
      <w:tr w:rsidR="00A02CDC" w14:paraId="3950144F" w14:textId="77777777" w:rsidTr="00A02CD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vAlign w:val="center"/>
          </w:tcPr>
          <w:p w14:paraId="6391D896" w14:textId="77777777" w:rsidR="00A02CDC" w:rsidRPr="00A02CDC" w:rsidRDefault="00A02CDC" w:rsidP="000651D8">
            <w:pPr>
              <w:pStyle w:val="ListParagraph"/>
              <w:spacing w:after="0"/>
            </w:pPr>
            <w:r w:rsidRPr="00A02CDC">
              <w:rPr>
                <w:b w:val="0"/>
                <w:bCs w:val="0"/>
              </w:rPr>
              <w:t>Measure C – Community benefits</w:t>
            </w:r>
          </w:p>
        </w:tc>
        <w:tc>
          <w:tcPr>
            <w:tcW w:w="1210" w:type="dxa"/>
            <w:tcBorders>
              <w:top w:val="nil"/>
              <w:bottom w:val="single" w:sz="18" w:space="0" w:color="4F81BD" w:themeColor="accent1"/>
              <w:right w:val="single" w:sz="6" w:space="0" w:color="4F81BD" w:themeColor="accent1"/>
            </w:tcBorders>
            <w:tcMar>
              <w:left w:w="90" w:type="dxa"/>
              <w:right w:w="90" w:type="dxa"/>
            </w:tcMar>
            <w:vAlign w:val="center"/>
          </w:tcPr>
          <w:p w14:paraId="6D2ED937" w14:textId="77777777" w:rsidR="00A02CDC" w:rsidRPr="00A02CDC" w:rsidRDefault="00A02CDC" w:rsidP="000651D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02CDC">
              <w:t>6.7</w:t>
            </w:r>
          </w:p>
        </w:tc>
      </w:tr>
      <w:tr w:rsidR="00A02CDC" w14:paraId="157CDA58" w14:textId="77777777" w:rsidTr="00A02CDC">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5027E1F5" w14:textId="77777777" w:rsidR="00A02CDC" w:rsidRPr="00A02CDC" w:rsidRDefault="00A02CDC" w:rsidP="000651D8">
            <w:pPr>
              <w:spacing w:after="0"/>
              <w:rPr>
                <w:rFonts w:eastAsia="Arial" w:cs="Arial"/>
              </w:rPr>
            </w:pPr>
            <w:r w:rsidRPr="00A02CDC">
              <w:t>Total</w:t>
            </w:r>
          </w:p>
        </w:tc>
        <w:tc>
          <w:tcPr>
            <w:tcW w:w="1210"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251443E1" w14:textId="77777777" w:rsidR="00A02CDC" w:rsidRPr="00A02CDC" w:rsidRDefault="00A02CDC" w:rsidP="000651D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02CDC">
              <w:rPr>
                <w:rFonts w:eastAsia="Arial" w:cs="Arial"/>
                <w:b/>
                <w:bCs/>
              </w:rPr>
              <w:t>100</w:t>
            </w:r>
          </w:p>
        </w:tc>
      </w:tr>
    </w:tbl>
    <w:p w14:paraId="71D12002" w14:textId="77777777" w:rsidR="00A02CDC" w:rsidRPr="008F30A6" w:rsidRDefault="00A02CDC" w:rsidP="00A02CDC">
      <w:pPr>
        <w:pStyle w:val="Heading1"/>
      </w:pPr>
      <w:r w:rsidRPr="008F30A6">
        <w:lastRenderedPageBreak/>
        <w:t xml:space="preserve">Examples of Eligible Projects </w:t>
      </w:r>
    </w:p>
    <w:p w14:paraId="7EC5D5D9" w14:textId="77777777" w:rsidR="00A02CDC" w:rsidRPr="00A02CDC" w:rsidRDefault="00A02CDC" w:rsidP="00A02CDC">
      <w:pPr>
        <w:pStyle w:val="ListBullet"/>
        <w:tabs>
          <w:tab w:val="clear" w:pos="540"/>
        </w:tabs>
        <w:spacing w:after="240"/>
        <w:contextualSpacing/>
      </w:pPr>
      <w:r w:rsidRPr="00A02CDC">
        <w:t xml:space="preserve">Existing bridge rehabilitation </w:t>
      </w:r>
    </w:p>
    <w:p w14:paraId="06A9E00B" w14:textId="77777777" w:rsidR="00A02CDC" w:rsidRPr="00A02CDC" w:rsidRDefault="00A02CDC" w:rsidP="00A02CDC">
      <w:pPr>
        <w:pStyle w:val="ListBullet"/>
        <w:tabs>
          <w:tab w:val="clear" w:pos="540"/>
        </w:tabs>
        <w:spacing w:after="240"/>
        <w:contextualSpacing/>
      </w:pPr>
      <w:r w:rsidRPr="00A02CDC">
        <w:t xml:space="preserve">Existing bridge replacement </w:t>
      </w:r>
    </w:p>
    <w:p w14:paraId="3E04C35D" w14:textId="77777777" w:rsidR="00A02CDC" w:rsidRPr="00A02CDC" w:rsidRDefault="00A02CDC" w:rsidP="00A02CDC">
      <w:pPr>
        <w:pStyle w:val="ListBullet"/>
        <w:tabs>
          <w:tab w:val="clear" w:pos="540"/>
        </w:tabs>
        <w:spacing w:after="240"/>
        <w:contextualSpacing/>
      </w:pPr>
      <w:r w:rsidRPr="00A02CDC">
        <w:t>Rail, transit-only, and pedestrian/bike-only bridges are not eligible in this category</w:t>
      </w:r>
    </w:p>
    <w:p w14:paraId="6BB8F841" w14:textId="0BEACFDC" w:rsidR="00A02CDC" w:rsidRDefault="00A02CDC">
      <w:pPr>
        <w:spacing w:after="0"/>
      </w:pPr>
      <w:r>
        <w:br w:type="page"/>
      </w:r>
    </w:p>
    <w:p w14:paraId="6AB1E135" w14:textId="77777777" w:rsidR="00A02CDC" w:rsidRDefault="00A02CDC" w:rsidP="00A02CDC">
      <w:pPr>
        <w:pStyle w:val="ReportTitle"/>
      </w:pPr>
      <w:r>
        <w:lastRenderedPageBreak/>
        <w:t>Travel Demand Management (TDM)</w:t>
      </w:r>
    </w:p>
    <w:p w14:paraId="4519A5B1" w14:textId="77777777" w:rsidR="00A02CDC" w:rsidRPr="00A72A1F" w:rsidRDefault="00A02CDC" w:rsidP="00A02CDC">
      <w:pPr>
        <w:pStyle w:val="Heading1"/>
      </w:pPr>
      <w:r w:rsidRPr="00A72A1F">
        <w:t>Prioritizing Criteria and Measures</w:t>
      </w:r>
    </w:p>
    <w:p w14:paraId="03F63F50" w14:textId="23BDFCC0" w:rsidR="00A02CDC" w:rsidRPr="00A02CDC" w:rsidRDefault="00A02CDC" w:rsidP="00A02CDC">
      <w:pPr>
        <w:spacing w:after="120"/>
        <w:rPr>
          <w:rFonts w:eastAsia="Arial" w:cs="Arial"/>
        </w:rPr>
      </w:pPr>
      <w:r w:rsidRPr="00A02CDC">
        <w:rPr>
          <w:rFonts w:eastAsia="Arial" w:cs="Arial"/>
          <w:b/>
          <w:bCs/>
        </w:rPr>
        <w:t xml:space="preserve">2050 TPP Goal: </w:t>
      </w:r>
      <w:r w:rsidRPr="00A02CDC">
        <w:rPr>
          <w:rFonts w:eastAsia="Arial" w:cs="Arial"/>
        </w:rPr>
        <w:t>We lead on addressing climate change</w:t>
      </w:r>
    </w:p>
    <w:p w14:paraId="18E78288" w14:textId="77777777" w:rsidR="00A02CDC" w:rsidRPr="00A02CDC" w:rsidRDefault="00A02CDC" w:rsidP="00A02CDC">
      <w:pPr>
        <w:spacing w:after="0"/>
        <w:rPr>
          <w:b/>
          <w:bCs/>
        </w:rPr>
      </w:pPr>
      <w:r w:rsidRPr="00A02CDC">
        <w:rPr>
          <w:b/>
          <w:bCs/>
        </w:rPr>
        <w:t xml:space="preserve">2050 TPP Objectives or Policies: </w:t>
      </w:r>
    </w:p>
    <w:p w14:paraId="0487642A" w14:textId="77777777" w:rsidR="00A02CDC" w:rsidRPr="00712517" w:rsidRDefault="00A02CDC" w:rsidP="00A02CDC">
      <w:pPr>
        <w:pStyle w:val="ListBullet"/>
        <w:tabs>
          <w:tab w:val="clear" w:pos="540"/>
        </w:tabs>
        <w:spacing w:after="240"/>
        <w:contextualSpacing/>
      </w:pPr>
      <w:r w:rsidRPr="00712517">
        <w:rPr>
          <w:rFonts w:eastAsia="Arial"/>
        </w:rPr>
        <w:t xml:space="preserve">The region’s transportation system minimizes its greenhouse gas emissions. </w:t>
      </w:r>
    </w:p>
    <w:p w14:paraId="591A610B" w14:textId="77777777" w:rsidR="00A02CDC" w:rsidRPr="00712517" w:rsidRDefault="00A02CDC" w:rsidP="00A02CDC">
      <w:pPr>
        <w:pStyle w:val="ListBullet"/>
        <w:tabs>
          <w:tab w:val="clear" w:pos="540"/>
        </w:tabs>
        <w:spacing w:after="240"/>
        <w:contextualSpacing/>
        <w:rPr>
          <w:rFonts w:eastAsia="Arial"/>
        </w:rPr>
      </w:pPr>
      <w:r w:rsidRPr="00712517">
        <w:rPr>
          <w:rFonts w:eastAsia="Arial"/>
        </w:rPr>
        <w:t xml:space="preserve">By 2050, the region reduces vehicle miles </w:t>
      </w:r>
      <w:proofErr w:type="gramStart"/>
      <w:r w:rsidRPr="00712517">
        <w:rPr>
          <w:rFonts w:eastAsia="Arial"/>
        </w:rPr>
        <w:t>traveled</w:t>
      </w:r>
      <w:proofErr w:type="gramEnd"/>
      <w:r w:rsidRPr="00712517">
        <w:rPr>
          <w:rFonts w:eastAsia="Arial"/>
        </w:rPr>
        <w:t xml:space="preserve"> by 20 percent per capita below 2019 levels.</w:t>
      </w:r>
    </w:p>
    <w:p w14:paraId="6409CF44" w14:textId="77777777" w:rsidR="00A02CDC" w:rsidRPr="00712517" w:rsidRDefault="00A02CDC" w:rsidP="00A02CDC">
      <w:pPr>
        <w:pStyle w:val="ListBullet"/>
        <w:tabs>
          <w:tab w:val="clear" w:pos="540"/>
        </w:tabs>
        <w:spacing w:after="240"/>
        <w:contextualSpacing/>
        <w:rPr>
          <w:rFonts w:eastAsia="Arial"/>
        </w:rPr>
      </w:pPr>
      <w:r w:rsidRPr="00712517">
        <w:rPr>
          <w:rFonts w:eastAsia="Arial"/>
        </w:rPr>
        <w:t xml:space="preserve">Use travel demand management (TDM) to plan, fund, and promote multimodal travel options and alternatives to driving alone.   </w:t>
      </w:r>
    </w:p>
    <w:p w14:paraId="67614F99" w14:textId="77777777" w:rsidR="00A02CDC" w:rsidRPr="00A02CDC" w:rsidRDefault="00A02CDC" w:rsidP="00A02CDC">
      <w:pPr>
        <w:spacing w:after="120"/>
        <w:rPr>
          <w:rFonts w:eastAsia="Arial" w:cs="Arial"/>
        </w:rPr>
      </w:pPr>
      <w:r w:rsidRPr="00A02CDC">
        <w:rPr>
          <w:rFonts w:eastAsia="Arial" w:cs="Arial"/>
          <w:b/>
          <w:bCs/>
        </w:rPr>
        <w:t>Category Definition:</w:t>
      </w:r>
      <w:r w:rsidRPr="00A02CDC">
        <w:rPr>
          <w:rFonts w:eastAsia="Arial" w:cs="Arial"/>
        </w:rPr>
        <w:t xml:space="preserve"> The Travel Demand Management (TDM) application category seeks to fund projects that reduce trips, emissions and single occupancy vehicle usage, as well as support access to services and sustainable travel choices for regional commuters and residents. TDM projects should focus on connecting people to their places of employment and/or other activities and influence longer-term individual travel behavior mode choices that support an efficient use of the transportation system. Base-level TDM funding for the Transportation Management Organizations (TMOs) and Metro Transit Commuter Programs are not part of this application process.</w:t>
      </w:r>
    </w:p>
    <w:p w14:paraId="1B379001" w14:textId="77777777" w:rsidR="00A02CDC" w:rsidRDefault="00A02CDC" w:rsidP="00A02CDC">
      <w:pPr>
        <w:pStyle w:val="Heading1"/>
      </w:pPr>
      <w:r>
        <w:t>Scoring</w:t>
      </w:r>
    </w:p>
    <w:tbl>
      <w:tblPr>
        <w:tblStyle w:val="ListTable3-Accent1"/>
        <w:tblW w:w="5008"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41"/>
        <w:gridCol w:w="1339"/>
      </w:tblGrid>
      <w:tr w:rsidR="00A02CDC" w14:paraId="62C53A1B" w14:textId="77777777" w:rsidTr="000651D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741" w:type="dxa"/>
            <w:tcBorders>
              <w:top w:val="single" w:sz="6" w:space="0" w:color="auto"/>
              <w:left w:val="single" w:sz="6" w:space="0" w:color="auto"/>
              <w:bottom w:val="single" w:sz="6" w:space="0" w:color="4F81BD" w:themeColor="accent1"/>
            </w:tcBorders>
            <w:tcMar>
              <w:left w:w="90" w:type="dxa"/>
              <w:right w:w="90" w:type="dxa"/>
            </w:tcMar>
          </w:tcPr>
          <w:p w14:paraId="3D9C2DA9" w14:textId="77777777" w:rsidR="00A02CDC" w:rsidRDefault="00A02CDC" w:rsidP="000651D8">
            <w:pPr>
              <w:pStyle w:val="TableHeader"/>
              <w:spacing w:before="120" w:after="0"/>
              <w:rPr>
                <w:rFonts w:eastAsia="Arial"/>
                <w:color w:val="FFFFFF" w:themeColor="background1"/>
              </w:rPr>
            </w:pPr>
            <w:r w:rsidRPr="004003FC">
              <w:rPr>
                <w:rFonts w:ascii="Arial" w:hAnsi="Arial"/>
                <w:b/>
                <w:bCs/>
                <w:color w:val="FFFFFF" w:themeColor="background1"/>
                <w:szCs w:val="22"/>
              </w:rPr>
              <w:t>Criteria and Measures</w:t>
            </w:r>
          </w:p>
        </w:tc>
        <w:tc>
          <w:tcPr>
            <w:tcW w:w="1339" w:type="dxa"/>
            <w:tcBorders>
              <w:top w:val="single" w:sz="6" w:space="0" w:color="auto"/>
              <w:bottom w:val="single" w:sz="6" w:space="0" w:color="4F81BD" w:themeColor="accent1"/>
              <w:right w:val="single" w:sz="6" w:space="0" w:color="auto"/>
            </w:tcBorders>
            <w:tcMar>
              <w:left w:w="90" w:type="dxa"/>
              <w:right w:w="90" w:type="dxa"/>
            </w:tcMar>
          </w:tcPr>
          <w:p w14:paraId="2B90882F" w14:textId="77777777" w:rsidR="00A02CDC" w:rsidRDefault="00A02CDC" w:rsidP="000651D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color w:val="FFFFFF" w:themeColor="background1"/>
              </w:rPr>
            </w:pPr>
            <w:r w:rsidRPr="00CD61F3">
              <w:rPr>
                <w:rFonts w:ascii="Arial" w:hAnsi="Arial"/>
                <w:b/>
                <w:bCs/>
                <w:color w:val="FFFFFF" w:themeColor="background1"/>
                <w:szCs w:val="22"/>
              </w:rPr>
              <w:t xml:space="preserve">% </w:t>
            </w:r>
          </w:p>
        </w:tc>
      </w:tr>
      <w:tr w:rsidR="00A02CDC" w14:paraId="0929E948"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6" w:space="0" w:color="4F81BD" w:themeColor="accent1"/>
              <w:left w:val="single" w:sz="6" w:space="0" w:color="auto"/>
              <w:bottom w:val="nil"/>
            </w:tcBorders>
            <w:tcMar>
              <w:left w:w="90" w:type="dxa"/>
              <w:right w:w="90" w:type="dxa"/>
            </w:tcMar>
          </w:tcPr>
          <w:p w14:paraId="4352FF24" w14:textId="77777777" w:rsidR="00A02CDC" w:rsidRPr="00A02CDC" w:rsidRDefault="00A02CDC" w:rsidP="00A02CDC">
            <w:pPr>
              <w:pStyle w:val="ListParagraph"/>
              <w:numPr>
                <w:ilvl w:val="0"/>
                <w:numId w:val="45"/>
              </w:numPr>
              <w:spacing w:after="0"/>
              <w:rPr>
                <w:rFonts w:eastAsia="Arial" w:cs="Arial"/>
              </w:rPr>
            </w:pPr>
            <w:r w:rsidRPr="00A02CDC">
              <w:t>Vehicle Miles Traveled (VMT) Reduction</w:t>
            </w:r>
          </w:p>
        </w:tc>
        <w:tc>
          <w:tcPr>
            <w:tcW w:w="1339" w:type="dxa"/>
            <w:tcBorders>
              <w:top w:val="single" w:sz="6" w:space="0" w:color="4F81BD" w:themeColor="accent1"/>
              <w:bottom w:val="nil"/>
              <w:right w:val="single" w:sz="6" w:space="0" w:color="auto"/>
            </w:tcBorders>
            <w:tcMar>
              <w:left w:w="90" w:type="dxa"/>
              <w:right w:w="90" w:type="dxa"/>
            </w:tcMar>
          </w:tcPr>
          <w:p w14:paraId="6212E00B"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b/>
                <w:bCs/>
                <w:color w:val="505150"/>
                <w:sz w:val="22"/>
                <w:szCs w:val="22"/>
              </w:rPr>
              <w:t>30</w:t>
            </w:r>
          </w:p>
        </w:tc>
      </w:tr>
      <w:tr w:rsidR="00A02CDC" w14:paraId="5FCF4454"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27E7161F" w14:textId="77777777" w:rsidR="00A02CDC" w:rsidRPr="00A02CDC" w:rsidRDefault="00A02CDC" w:rsidP="000651D8">
            <w:pPr>
              <w:pStyle w:val="ListParagraph"/>
              <w:spacing w:after="0" w:line="259" w:lineRule="auto"/>
              <w:rPr>
                <w:rFonts w:eastAsia="Arial" w:cs="Arial"/>
              </w:rPr>
            </w:pPr>
            <w:r w:rsidRPr="00A02CDC">
              <w:rPr>
                <w:b w:val="0"/>
                <w:bCs w:val="0"/>
              </w:rPr>
              <w:t>Measure A – Average weekday users and miles shifted to non-single occupancy vehicle travel or trip reduction</w:t>
            </w:r>
            <w:r w:rsidRPr="00A02CDC">
              <w:rPr>
                <w:rFonts w:eastAsia="Arial" w:cs="Arial"/>
                <w:b w:val="0"/>
                <w:bCs w:val="0"/>
              </w:rPr>
              <w:t xml:space="preserve">  </w:t>
            </w:r>
          </w:p>
        </w:tc>
        <w:tc>
          <w:tcPr>
            <w:tcW w:w="1339" w:type="dxa"/>
            <w:tcBorders>
              <w:top w:val="nil"/>
              <w:bottom w:val="single" w:sz="18" w:space="0" w:color="4F81BD" w:themeColor="accent1"/>
              <w:right w:val="single" w:sz="6" w:space="0" w:color="auto"/>
            </w:tcBorders>
            <w:tcMar>
              <w:left w:w="90" w:type="dxa"/>
              <w:right w:w="90" w:type="dxa"/>
            </w:tcMar>
          </w:tcPr>
          <w:p w14:paraId="6748681E"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A02CDC">
              <w:rPr>
                <w:rFonts w:ascii="Arial" w:hAnsi="Arial"/>
                <w:color w:val="505150"/>
                <w:sz w:val="22"/>
                <w:szCs w:val="22"/>
              </w:rPr>
              <w:t>30</w:t>
            </w:r>
          </w:p>
        </w:tc>
      </w:tr>
      <w:tr w:rsidR="00A02CDC" w14:paraId="7D2C579A"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2D7D26E7" w14:textId="77777777" w:rsidR="00A02CDC" w:rsidRPr="00A02CDC" w:rsidRDefault="00A02CDC" w:rsidP="00A02CDC">
            <w:pPr>
              <w:pStyle w:val="ListParagraph"/>
              <w:numPr>
                <w:ilvl w:val="0"/>
                <w:numId w:val="45"/>
              </w:numPr>
              <w:spacing w:after="0"/>
              <w:rPr>
                <w:rFonts w:eastAsia="Arial" w:cs="Arial"/>
              </w:rPr>
            </w:pPr>
            <w:r w:rsidRPr="00A02CDC">
              <w:t>Connections to Jobs, Educations, and Opportunity</w:t>
            </w:r>
            <w:r w:rsidRPr="00A02CDC">
              <w:rPr>
                <w:rFonts w:eastAsia="Arial" w:cs="Arial"/>
              </w:rPr>
              <w:t xml:space="preserve"> </w:t>
            </w:r>
          </w:p>
        </w:tc>
        <w:tc>
          <w:tcPr>
            <w:tcW w:w="1339" w:type="dxa"/>
            <w:tcBorders>
              <w:top w:val="single" w:sz="18" w:space="0" w:color="4F81BD" w:themeColor="accent1"/>
              <w:bottom w:val="nil"/>
              <w:right w:val="single" w:sz="6" w:space="0" w:color="auto"/>
            </w:tcBorders>
            <w:tcMar>
              <w:left w:w="90" w:type="dxa"/>
              <w:right w:w="90" w:type="dxa"/>
            </w:tcMar>
          </w:tcPr>
          <w:p w14:paraId="354A4456"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b/>
                <w:bCs/>
                <w:color w:val="505150"/>
                <w:sz w:val="22"/>
                <w:szCs w:val="22"/>
              </w:rPr>
              <w:t>25</w:t>
            </w:r>
          </w:p>
        </w:tc>
      </w:tr>
      <w:tr w:rsidR="00A02CDC" w14:paraId="4F5E13CF"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2929B046" w14:textId="77777777" w:rsidR="00A02CDC" w:rsidRPr="00A02CDC" w:rsidRDefault="00A02CDC" w:rsidP="000651D8">
            <w:pPr>
              <w:pStyle w:val="ListParagraph"/>
              <w:spacing w:after="0" w:line="259" w:lineRule="auto"/>
              <w:rPr>
                <w:rFonts w:eastAsia="Arial" w:cs="Arial"/>
              </w:rPr>
            </w:pPr>
            <w:r w:rsidRPr="00A02CDC">
              <w:rPr>
                <w:b w:val="0"/>
                <w:bCs w:val="0"/>
              </w:rPr>
              <w:t>Measure A – Connections to jobs, education, and other opportunities</w:t>
            </w:r>
          </w:p>
        </w:tc>
        <w:tc>
          <w:tcPr>
            <w:tcW w:w="1339" w:type="dxa"/>
            <w:tcBorders>
              <w:top w:val="nil"/>
              <w:bottom w:val="single" w:sz="18" w:space="0" w:color="4F81BD" w:themeColor="accent1"/>
              <w:right w:val="single" w:sz="6" w:space="0" w:color="auto"/>
            </w:tcBorders>
            <w:tcMar>
              <w:left w:w="90" w:type="dxa"/>
              <w:right w:w="90" w:type="dxa"/>
            </w:tcMar>
          </w:tcPr>
          <w:p w14:paraId="3F5C34B0"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A02CDC">
              <w:rPr>
                <w:rFonts w:ascii="Arial" w:hAnsi="Arial"/>
                <w:color w:val="505150"/>
                <w:sz w:val="22"/>
                <w:szCs w:val="22"/>
              </w:rPr>
              <w:t>25</w:t>
            </w:r>
          </w:p>
        </w:tc>
      </w:tr>
      <w:tr w:rsidR="00A02CDC" w14:paraId="12A69D86"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672ADE2A" w14:textId="77777777" w:rsidR="00A02CDC" w:rsidRPr="00A02CDC" w:rsidRDefault="00A02CDC" w:rsidP="00A02CDC">
            <w:pPr>
              <w:pStyle w:val="ListParagraph"/>
              <w:numPr>
                <w:ilvl w:val="0"/>
                <w:numId w:val="45"/>
              </w:numPr>
              <w:spacing w:after="0"/>
              <w:rPr>
                <w:rFonts w:eastAsia="Arial" w:cs="Arial"/>
              </w:rPr>
            </w:pPr>
            <w:r w:rsidRPr="00A02CDC">
              <w:t>Project Effectiveness Evaluation</w:t>
            </w:r>
          </w:p>
        </w:tc>
        <w:tc>
          <w:tcPr>
            <w:tcW w:w="1339" w:type="dxa"/>
            <w:tcBorders>
              <w:top w:val="single" w:sz="18" w:space="0" w:color="4F81BD" w:themeColor="accent1"/>
              <w:bottom w:val="nil"/>
              <w:right w:val="single" w:sz="6" w:space="0" w:color="auto"/>
            </w:tcBorders>
            <w:tcMar>
              <w:left w:w="90" w:type="dxa"/>
              <w:right w:w="90" w:type="dxa"/>
            </w:tcMar>
          </w:tcPr>
          <w:p w14:paraId="7299D5A9" w14:textId="77777777" w:rsidR="00A02CDC" w:rsidRPr="00A02CDC" w:rsidRDefault="00A02CDC" w:rsidP="000651D8">
            <w:pPr>
              <w:pStyle w:val="TableTextCurrency"/>
              <w:spacing w:before="0" w:after="0" w:line="259" w:lineRule="auto"/>
              <w:ind w:left="0" w:right="0"/>
              <w:jc w:val="center"/>
              <w:cnfStyle w:val="000000100000" w:firstRow="0" w:lastRow="0" w:firstColumn="0" w:lastColumn="0" w:oddVBand="0" w:evenVBand="0" w:oddHBand="1" w:evenHBand="0" w:firstRowFirstColumn="0" w:firstRowLastColumn="0" w:lastRowFirstColumn="0" w:lastRowLastColumn="0"/>
              <w:rPr>
                <w:b/>
                <w:color w:val="505150"/>
              </w:rPr>
            </w:pPr>
            <w:r w:rsidRPr="00A02CDC">
              <w:rPr>
                <w:rFonts w:ascii="Arial" w:hAnsi="Arial"/>
                <w:b/>
                <w:bCs/>
                <w:color w:val="505150"/>
                <w:sz w:val="22"/>
                <w:szCs w:val="22"/>
              </w:rPr>
              <w:t>20</w:t>
            </w:r>
          </w:p>
        </w:tc>
      </w:tr>
      <w:tr w:rsidR="00A02CDC" w14:paraId="6D173606"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1CF5CB2A" w14:textId="77777777" w:rsidR="00A02CDC" w:rsidRPr="00A02CDC" w:rsidRDefault="00A02CDC" w:rsidP="000651D8">
            <w:pPr>
              <w:pStyle w:val="ListParagraph"/>
              <w:spacing w:after="0"/>
              <w:rPr>
                <w:rFonts w:eastAsia="Arial" w:cs="Arial"/>
              </w:rPr>
            </w:pPr>
            <w:r w:rsidRPr="00A02CDC">
              <w:rPr>
                <w:b w:val="0"/>
                <w:bCs w:val="0"/>
              </w:rPr>
              <w:t>Measure A – Plan and methods to evaluate project outcomes</w:t>
            </w:r>
            <w:r w:rsidRPr="00A02CDC">
              <w:rPr>
                <w:rFonts w:eastAsia="Arial" w:cs="Arial"/>
                <w:b w:val="0"/>
                <w:bCs w:val="0"/>
              </w:rPr>
              <w:t xml:space="preserve">  </w:t>
            </w:r>
          </w:p>
        </w:tc>
        <w:tc>
          <w:tcPr>
            <w:tcW w:w="1339" w:type="dxa"/>
            <w:tcBorders>
              <w:top w:val="nil"/>
              <w:bottom w:val="single" w:sz="18" w:space="0" w:color="4F81BD" w:themeColor="accent1"/>
              <w:right w:val="single" w:sz="6" w:space="0" w:color="auto"/>
            </w:tcBorders>
            <w:tcMar>
              <w:left w:w="90" w:type="dxa"/>
              <w:right w:w="90" w:type="dxa"/>
            </w:tcMar>
          </w:tcPr>
          <w:p w14:paraId="1C7FC78D"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A02CDC">
              <w:rPr>
                <w:rFonts w:ascii="Arial" w:hAnsi="Arial"/>
                <w:color w:val="505150"/>
                <w:sz w:val="22"/>
                <w:szCs w:val="22"/>
              </w:rPr>
              <w:t>20</w:t>
            </w:r>
          </w:p>
        </w:tc>
      </w:tr>
      <w:tr w:rsidR="00A02CDC" w14:paraId="63C30E85"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2E808129" w14:textId="77777777" w:rsidR="00A02CDC" w:rsidRPr="00A02CDC" w:rsidRDefault="00A02CDC" w:rsidP="00A02CDC">
            <w:pPr>
              <w:pStyle w:val="ListParagraph"/>
              <w:numPr>
                <w:ilvl w:val="0"/>
                <w:numId w:val="45"/>
              </w:numPr>
              <w:spacing w:after="0"/>
              <w:rPr>
                <w:rFonts w:eastAsia="Arial" w:cs="Arial"/>
              </w:rPr>
            </w:pPr>
            <w:r w:rsidRPr="00A02CDC">
              <w:t>Innovation</w:t>
            </w:r>
          </w:p>
        </w:tc>
        <w:tc>
          <w:tcPr>
            <w:tcW w:w="1339" w:type="dxa"/>
            <w:tcBorders>
              <w:top w:val="single" w:sz="18" w:space="0" w:color="4F81BD" w:themeColor="accent1"/>
              <w:bottom w:val="nil"/>
              <w:right w:val="single" w:sz="6" w:space="0" w:color="auto"/>
            </w:tcBorders>
            <w:tcMar>
              <w:left w:w="90" w:type="dxa"/>
              <w:right w:w="90" w:type="dxa"/>
            </w:tcMar>
          </w:tcPr>
          <w:p w14:paraId="12E7DAD6"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b/>
                <w:bCs/>
                <w:color w:val="505150"/>
                <w:sz w:val="22"/>
                <w:szCs w:val="22"/>
              </w:rPr>
              <w:t>5</w:t>
            </w:r>
          </w:p>
        </w:tc>
      </w:tr>
      <w:tr w:rsidR="00A02CDC" w14:paraId="7EFD3EC0"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6" w:space="0" w:color="auto"/>
            </w:tcBorders>
            <w:tcMar>
              <w:left w:w="90" w:type="dxa"/>
              <w:right w:w="90" w:type="dxa"/>
            </w:tcMar>
          </w:tcPr>
          <w:p w14:paraId="4D10E8CB" w14:textId="77777777" w:rsidR="00A02CDC" w:rsidRPr="00A02CDC" w:rsidRDefault="00A02CDC" w:rsidP="000651D8">
            <w:pPr>
              <w:pStyle w:val="ListParagraph"/>
              <w:spacing w:after="0" w:line="259" w:lineRule="auto"/>
              <w:rPr>
                <w:rFonts w:eastAsia="Arial" w:cs="Arial"/>
              </w:rPr>
            </w:pPr>
            <w:r w:rsidRPr="00A02CDC">
              <w:rPr>
                <w:b w:val="0"/>
                <w:bCs w:val="0"/>
              </w:rPr>
              <w:t>Measure A – Completely new, new to the region, or serving new communities</w:t>
            </w:r>
          </w:p>
        </w:tc>
        <w:tc>
          <w:tcPr>
            <w:tcW w:w="1339" w:type="dxa"/>
            <w:tcBorders>
              <w:top w:val="nil"/>
              <w:bottom w:val="single" w:sz="6" w:space="0" w:color="auto"/>
              <w:right w:val="single" w:sz="6" w:space="0" w:color="auto"/>
            </w:tcBorders>
            <w:tcMar>
              <w:left w:w="90" w:type="dxa"/>
              <w:right w:w="90" w:type="dxa"/>
            </w:tcMar>
          </w:tcPr>
          <w:p w14:paraId="1CBFA3D7"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A02CDC">
              <w:rPr>
                <w:rFonts w:ascii="Arial" w:hAnsi="Arial"/>
                <w:color w:val="505150"/>
                <w:sz w:val="22"/>
                <w:szCs w:val="22"/>
              </w:rPr>
              <w:t>5</w:t>
            </w:r>
          </w:p>
        </w:tc>
      </w:tr>
      <w:tr w:rsidR="00A02CDC" w14:paraId="690DDC7D"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545D4F2C" w14:textId="77777777" w:rsidR="00A02CDC" w:rsidRPr="00A02CDC" w:rsidRDefault="00A02CDC" w:rsidP="00A02CDC">
            <w:pPr>
              <w:pStyle w:val="ListParagraph"/>
              <w:numPr>
                <w:ilvl w:val="0"/>
                <w:numId w:val="45"/>
              </w:numPr>
              <w:spacing w:after="0"/>
              <w:rPr>
                <w:rFonts w:eastAsia="Arial" w:cs="Arial"/>
              </w:rPr>
            </w:pPr>
            <w:r w:rsidRPr="00A02CDC">
              <w:rPr>
                <w:rFonts w:eastAsia="Arial" w:cs="Arial"/>
              </w:rPr>
              <w:t>Community Considerations</w:t>
            </w:r>
          </w:p>
        </w:tc>
        <w:tc>
          <w:tcPr>
            <w:tcW w:w="1339" w:type="dxa"/>
            <w:tcBorders>
              <w:top w:val="single" w:sz="18" w:space="0" w:color="4F81BD" w:themeColor="accent1"/>
              <w:bottom w:val="nil"/>
              <w:right w:val="single" w:sz="6" w:space="0" w:color="auto"/>
            </w:tcBorders>
            <w:tcMar>
              <w:left w:w="90" w:type="dxa"/>
              <w:right w:w="90" w:type="dxa"/>
            </w:tcMar>
          </w:tcPr>
          <w:p w14:paraId="1AB33BE7"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b/>
                <w:bCs/>
                <w:color w:val="505150"/>
                <w:sz w:val="22"/>
                <w:szCs w:val="22"/>
              </w:rPr>
              <w:t>20</w:t>
            </w:r>
          </w:p>
        </w:tc>
      </w:tr>
      <w:tr w:rsidR="00A02CDC" w14:paraId="45C9619C"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nil"/>
            </w:tcBorders>
            <w:tcMar>
              <w:left w:w="90" w:type="dxa"/>
              <w:right w:w="90" w:type="dxa"/>
            </w:tcMar>
            <w:vAlign w:val="center"/>
          </w:tcPr>
          <w:p w14:paraId="53D0A3DD" w14:textId="77777777" w:rsidR="00A02CDC" w:rsidRPr="00A02CDC" w:rsidRDefault="00A02CDC" w:rsidP="000651D8">
            <w:pPr>
              <w:pStyle w:val="ListParagraph"/>
              <w:spacing w:after="0"/>
              <w:rPr>
                <w:rFonts w:eastAsia="Arial" w:cs="Arial"/>
              </w:rPr>
            </w:pPr>
            <w:r w:rsidRPr="00A02CDC">
              <w:rPr>
                <w:b w:val="0"/>
                <w:bCs w:val="0"/>
              </w:rPr>
              <w:t>Measure A – Community data and context</w:t>
            </w:r>
          </w:p>
        </w:tc>
        <w:tc>
          <w:tcPr>
            <w:tcW w:w="1339" w:type="dxa"/>
            <w:tcBorders>
              <w:top w:val="nil"/>
              <w:bottom w:val="nil"/>
              <w:right w:val="single" w:sz="6" w:space="0" w:color="auto"/>
            </w:tcBorders>
            <w:tcMar>
              <w:left w:w="90" w:type="dxa"/>
              <w:right w:w="90" w:type="dxa"/>
            </w:tcMar>
            <w:vAlign w:val="center"/>
          </w:tcPr>
          <w:p w14:paraId="062B4A2D"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A02CDC">
              <w:rPr>
                <w:rFonts w:ascii="Arial" w:hAnsi="Arial"/>
                <w:color w:val="505150"/>
                <w:sz w:val="22"/>
                <w:szCs w:val="22"/>
              </w:rPr>
              <w:t>6.7</w:t>
            </w:r>
          </w:p>
        </w:tc>
      </w:tr>
      <w:tr w:rsidR="00A02CDC" w14:paraId="565B5C07"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nil"/>
            </w:tcBorders>
            <w:tcMar>
              <w:left w:w="90" w:type="dxa"/>
              <w:right w:w="90" w:type="dxa"/>
            </w:tcMar>
            <w:vAlign w:val="center"/>
          </w:tcPr>
          <w:p w14:paraId="59B27F87" w14:textId="77777777" w:rsidR="00A02CDC" w:rsidRPr="00A02CDC" w:rsidRDefault="00A02CDC" w:rsidP="000651D8">
            <w:pPr>
              <w:pStyle w:val="ListParagraph"/>
              <w:spacing w:after="0"/>
              <w:rPr>
                <w:rFonts w:eastAsia="Arial" w:cs="Arial"/>
              </w:rPr>
            </w:pPr>
            <w:r w:rsidRPr="00A02CDC">
              <w:rPr>
                <w:b w:val="0"/>
                <w:bCs w:val="0"/>
              </w:rPr>
              <w:t>Measure B – Community need and future engagement</w:t>
            </w:r>
          </w:p>
        </w:tc>
        <w:tc>
          <w:tcPr>
            <w:tcW w:w="1339" w:type="dxa"/>
            <w:tcBorders>
              <w:top w:val="nil"/>
              <w:bottom w:val="nil"/>
              <w:right w:val="single" w:sz="6" w:space="0" w:color="auto"/>
            </w:tcBorders>
            <w:tcMar>
              <w:left w:w="90" w:type="dxa"/>
              <w:right w:w="90" w:type="dxa"/>
            </w:tcMar>
            <w:vAlign w:val="center"/>
          </w:tcPr>
          <w:p w14:paraId="2FD3406D"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color w:val="505150"/>
                <w:sz w:val="22"/>
                <w:szCs w:val="22"/>
              </w:rPr>
              <w:t>6.7</w:t>
            </w:r>
          </w:p>
        </w:tc>
      </w:tr>
      <w:tr w:rsidR="00A02CDC" w14:paraId="3820C446" w14:textId="77777777" w:rsidTr="000651D8">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6" w:space="0" w:color="auto"/>
            </w:tcBorders>
            <w:tcMar>
              <w:left w:w="90" w:type="dxa"/>
              <w:right w:w="90" w:type="dxa"/>
            </w:tcMar>
            <w:vAlign w:val="center"/>
          </w:tcPr>
          <w:p w14:paraId="09E66EDC" w14:textId="77777777" w:rsidR="00A02CDC" w:rsidRPr="00A02CDC" w:rsidRDefault="00A02CDC" w:rsidP="000651D8">
            <w:pPr>
              <w:pStyle w:val="ListParagraph"/>
              <w:spacing w:after="0"/>
              <w:rPr>
                <w:rFonts w:eastAsia="Arial" w:cs="Arial"/>
              </w:rPr>
            </w:pPr>
            <w:r w:rsidRPr="00A02CDC">
              <w:rPr>
                <w:b w:val="0"/>
                <w:bCs w:val="0"/>
              </w:rPr>
              <w:t>Measure C – Community benefits</w:t>
            </w:r>
          </w:p>
        </w:tc>
        <w:tc>
          <w:tcPr>
            <w:tcW w:w="1339" w:type="dxa"/>
            <w:tcBorders>
              <w:top w:val="nil"/>
              <w:bottom w:val="single" w:sz="6" w:space="0" w:color="auto"/>
              <w:right w:val="single" w:sz="6" w:space="0" w:color="auto"/>
            </w:tcBorders>
            <w:tcMar>
              <w:left w:w="90" w:type="dxa"/>
              <w:right w:w="90" w:type="dxa"/>
            </w:tcMar>
            <w:vAlign w:val="center"/>
          </w:tcPr>
          <w:p w14:paraId="68379A21" w14:textId="77777777" w:rsidR="00A02CDC" w:rsidRPr="00A02CDC" w:rsidRDefault="00A02CDC" w:rsidP="000651D8">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A02CDC">
              <w:rPr>
                <w:rFonts w:ascii="Arial" w:hAnsi="Arial"/>
                <w:color w:val="505150"/>
                <w:sz w:val="22"/>
                <w:szCs w:val="22"/>
              </w:rPr>
              <w:t>6.7</w:t>
            </w:r>
          </w:p>
        </w:tc>
      </w:tr>
      <w:tr w:rsidR="00A02CDC" w14:paraId="047D822F" w14:textId="77777777" w:rsidTr="00065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single" w:sz="6" w:space="0" w:color="auto"/>
            </w:tcBorders>
            <w:tcMar>
              <w:left w:w="90" w:type="dxa"/>
              <w:right w:w="90" w:type="dxa"/>
            </w:tcMar>
          </w:tcPr>
          <w:p w14:paraId="5C167490" w14:textId="77777777" w:rsidR="00A02CDC" w:rsidRPr="00A02CDC" w:rsidRDefault="00A02CDC" w:rsidP="000651D8">
            <w:pPr>
              <w:spacing w:after="0"/>
              <w:rPr>
                <w:rFonts w:eastAsia="Arial" w:cs="Arial"/>
              </w:rPr>
            </w:pPr>
            <w:r w:rsidRPr="00A02CDC">
              <w:rPr>
                <w:rFonts w:eastAsia="Arial" w:cs="Arial"/>
              </w:rPr>
              <w:t>Total</w:t>
            </w:r>
          </w:p>
        </w:tc>
        <w:tc>
          <w:tcPr>
            <w:tcW w:w="1339" w:type="dxa"/>
            <w:tcBorders>
              <w:top w:val="single" w:sz="18" w:space="0" w:color="4F81BD" w:themeColor="accent1"/>
              <w:bottom w:val="single" w:sz="6" w:space="0" w:color="auto"/>
              <w:right w:val="single" w:sz="6" w:space="0" w:color="auto"/>
            </w:tcBorders>
            <w:tcMar>
              <w:left w:w="90" w:type="dxa"/>
              <w:right w:w="90" w:type="dxa"/>
            </w:tcMar>
          </w:tcPr>
          <w:p w14:paraId="6482AEEC" w14:textId="77777777" w:rsidR="00A02CDC" w:rsidRPr="00A02CDC" w:rsidRDefault="00A02CDC" w:rsidP="000651D8">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A02CDC">
              <w:rPr>
                <w:rFonts w:ascii="Arial" w:hAnsi="Arial"/>
                <w:b/>
                <w:bCs/>
                <w:color w:val="505150"/>
                <w:sz w:val="22"/>
                <w:szCs w:val="22"/>
              </w:rPr>
              <w:t>100</w:t>
            </w:r>
          </w:p>
        </w:tc>
      </w:tr>
    </w:tbl>
    <w:p w14:paraId="5DF7EE82" w14:textId="77777777" w:rsidR="00A02CDC" w:rsidRDefault="00A02CDC" w:rsidP="0025015C"/>
    <w:p w14:paraId="0B85DC3A" w14:textId="77777777" w:rsidR="00A02CDC" w:rsidRDefault="00A02CDC" w:rsidP="00A02CDC">
      <w:pPr>
        <w:spacing w:after="0"/>
        <w:rPr>
          <w:rFonts w:eastAsia="MS PGothic" w:cs="Arial"/>
          <w:b/>
          <w:iCs/>
          <w:color w:val="373737"/>
          <w:kern w:val="32"/>
          <w:sz w:val="24"/>
          <w:szCs w:val="28"/>
        </w:rPr>
      </w:pPr>
      <w:r>
        <w:br w:type="page"/>
      </w:r>
    </w:p>
    <w:p w14:paraId="295E5F3C" w14:textId="77777777" w:rsidR="00A02CDC" w:rsidRDefault="00A02CDC" w:rsidP="00A02CDC">
      <w:pPr>
        <w:pStyle w:val="Heading1"/>
      </w:pPr>
      <w:r w:rsidRPr="7B7C64FB">
        <w:lastRenderedPageBreak/>
        <w:t>Examples of Eligible Projects</w:t>
      </w:r>
    </w:p>
    <w:p w14:paraId="2478432F" w14:textId="129C3FED" w:rsidR="00A02CDC" w:rsidRPr="00A02CDC" w:rsidRDefault="00A02CDC" w:rsidP="00A02CDC">
      <w:r w:rsidRPr="00A02CDC">
        <w:t>Please note that this list is not exhaustive and is intended only to provide examples. For questions regarding project eligibility, see the qualifying requirements for this application category and contact the Metropolitan Council</w:t>
      </w:r>
      <w:r w:rsidR="00CB2339">
        <w:t xml:space="preserve">’s TDM program manager, </w:t>
      </w:r>
      <w:hyperlink r:id="rId63" w:history="1">
        <w:r w:rsidR="00CB2339" w:rsidRPr="00226E18">
          <w:rPr>
            <w:rStyle w:val="Hyperlink"/>
          </w:rPr>
          <w:t>Wendy Duren</w:t>
        </w:r>
      </w:hyperlink>
      <w:r w:rsidR="00CB2339">
        <w:t>.</w:t>
      </w:r>
    </w:p>
    <w:p w14:paraId="34B6395E"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Shared mobility program promotion  </w:t>
      </w:r>
    </w:p>
    <w:p w14:paraId="4DC39614"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Telework &amp; flexible work schedules </w:t>
      </w:r>
    </w:p>
    <w:p w14:paraId="63614951"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Parking reduction management </w:t>
      </w:r>
    </w:p>
    <w:p w14:paraId="26469047"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TDM ordinance &amp; plan development </w:t>
      </w:r>
    </w:p>
    <w:p w14:paraId="7C19C430"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Technology for TDM integration </w:t>
      </w:r>
    </w:p>
    <w:p w14:paraId="038861D3"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Traveler incentive programs </w:t>
      </w:r>
    </w:p>
    <w:p w14:paraId="221D7CD9"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Local </w:t>
      </w:r>
      <w:proofErr w:type="spellStart"/>
      <w:proofErr w:type="gramStart"/>
      <w:r w:rsidRPr="00A02CDC">
        <w:rPr>
          <w:rFonts w:eastAsia="Arial"/>
        </w:rPr>
        <w:t>bikesharing</w:t>
      </w:r>
      <w:proofErr w:type="spellEnd"/>
      <w:proofErr w:type="gramEnd"/>
      <w:r w:rsidRPr="00A02CDC">
        <w:rPr>
          <w:rFonts w:eastAsia="Arial"/>
        </w:rPr>
        <w:t xml:space="preserve"> infrastructure, marketing, and promotion </w:t>
      </w:r>
    </w:p>
    <w:p w14:paraId="604B5637"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Local </w:t>
      </w:r>
      <w:proofErr w:type="gramStart"/>
      <w:r w:rsidRPr="00A02CDC">
        <w:rPr>
          <w:rFonts w:eastAsia="Arial"/>
        </w:rPr>
        <w:t>carsharing</w:t>
      </w:r>
      <w:proofErr w:type="gramEnd"/>
      <w:r w:rsidRPr="00A02CDC">
        <w:rPr>
          <w:rFonts w:eastAsia="Arial"/>
        </w:rPr>
        <w:t xml:space="preserve"> infrastructure, marketing, and promotion </w:t>
      </w:r>
    </w:p>
    <w:p w14:paraId="45375D76"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Support, programming, and promotion of carpooling </w:t>
      </w:r>
    </w:p>
    <w:p w14:paraId="78095DC4" w14:textId="77777777" w:rsidR="00A02CDC" w:rsidRPr="00A02CDC" w:rsidRDefault="00A02CDC" w:rsidP="00A02CDC">
      <w:pPr>
        <w:pStyle w:val="ListBullet"/>
        <w:tabs>
          <w:tab w:val="clear" w:pos="540"/>
        </w:tabs>
        <w:spacing w:after="240"/>
        <w:contextualSpacing/>
        <w:rPr>
          <w:rFonts w:eastAsia="Arial"/>
        </w:rPr>
      </w:pPr>
      <w:r w:rsidRPr="00A02CDC">
        <w:rPr>
          <w:rFonts w:eastAsia="Arial"/>
        </w:rPr>
        <w:t xml:space="preserve">Support and promotion of vanpooling </w:t>
      </w:r>
    </w:p>
    <w:p w14:paraId="4A34F0AE" w14:textId="77777777" w:rsidR="00EE31F3" w:rsidRPr="00EE31F3" w:rsidRDefault="00EE31F3" w:rsidP="0025015C"/>
    <w:sectPr w:rsidR="00EE31F3" w:rsidRPr="00EE31F3" w:rsidSect="00A650D2">
      <w:headerReference w:type="even" r:id="rId64"/>
      <w:footerReference w:type="even" r:id="rId65"/>
      <w:footerReference w:type="default" r:id="rId66"/>
      <w:footerReference w:type="first" r:id="rId67"/>
      <w:pgSz w:w="12240" w:h="15840"/>
      <w:pgMar w:top="1440" w:right="1080" w:bottom="1440" w:left="1080" w:header="576" w:footer="576" w:gutter="0"/>
      <w:pgNumType w:start="1" w:chapStyle="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F96F" w14:textId="77777777" w:rsidR="00BF7DE4" w:rsidRDefault="00BF7DE4" w:rsidP="008C4FA3">
      <w:r>
        <w:separator/>
      </w:r>
    </w:p>
    <w:p w14:paraId="01FCDF1C" w14:textId="77777777" w:rsidR="00BF7DE4" w:rsidRDefault="00BF7DE4"/>
  </w:endnote>
  <w:endnote w:type="continuationSeparator" w:id="0">
    <w:p w14:paraId="13863935" w14:textId="77777777" w:rsidR="00BF7DE4" w:rsidRDefault="00BF7DE4" w:rsidP="008C4FA3">
      <w:r>
        <w:continuationSeparator/>
      </w:r>
    </w:p>
    <w:p w14:paraId="1F4D578F" w14:textId="77777777" w:rsidR="00BF7DE4" w:rsidRDefault="00BF7DE4"/>
  </w:endnote>
  <w:endnote w:type="continuationNotice" w:id="1">
    <w:p w14:paraId="205A10DF" w14:textId="77777777" w:rsidR="00BF7DE4" w:rsidRDefault="00BF7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72C1" w14:textId="77777777" w:rsidR="00BA52D1" w:rsidRDefault="00BA52D1"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7D828C2" w14:textId="77777777" w:rsidR="00BA52D1" w:rsidRDefault="00BA52D1" w:rsidP="009B2F9C">
    <w:pPr>
      <w:pStyle w:val="Footer"/>
      <w:ind w:firstLine="360"/>
    </w:pPr>
  </w:p>
  <w:p w14:paraId="1AA081BB" w14:textId="77777777" w:rsidR="00BA52D1" w:rsidRDefault="00BA52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812397"/>
      <w:docPartObj>
        <w:docPartGallery w:val="Page Numbers (Bottom of Page)"/>
        <w:docPartUnique/>
      </w:docPartObj>
    </w:sdtPr>
    <w:sdtEndPr>
      <w:rPr>
        <w:color w:val="7F7F7F" w:themeColor="background1" w:themeShade="7F"/>
        <w:spacing w:val="60"/>
      </w:rPr>
    </w:sdtEndPr>
    <w:sdtContent>
      <w:p w14:paraId="26C25673" w14:textId="793BE001" w:rsidR="00BA52D1" w:rsidRDefault="00BA52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59DDF3" w14:textId="77777777" w:rsidR="00BA52D1" w:rsidRDefault="00BA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7E7" w14:textId="77777777" w:rsidR="00BA52D1" w:rsidRPr="00501C82" w:rsidRDefault="00BA52D1"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0511" w14:textId="77777777" w:rsidR="00BF7DE4" w:rsidRDefault="00BF7DE4" w:rsidP="008C4FA3">
      <w:r>
        <w:separator/>
      </w:r>
    </w:p>
    <w:p w14:paraId="33AA3F8F" w14:textId="77777777" w:rsidR="00BF7DE4" w:rsidRDefault="00BF7DE4"/>
  </w:footnote>
  <w:footnote w:type="continuationSeparator" w:id="0">
    <w:p w14:paraId="4C6EDA8D" w14:textId="77777777" w:rsidR="00BF7DE4" w:rsidRDefault="00BF7DE4" w:rsidP="008C4FA3">
      <w:r>
        <w:continuationSeparator/>
      </w:r>
    </w:p>
    <w:p w14:paraId="53C325CB" w14:textId="77777777" w:rsidR="00BF7DE4" w:rsidRDefault="00BF7DE4"/>
  </w:footnote>
  <w:footnote w:type="continuationNotice" w:id="1">
    <w:p w14:paraId="58999F0A" w14:textId="77777777" w:rsidR="00BF7DE4" w:rsidRDefault="00BF7DE4">
      <w:pPr>
        <w:spacing w:after="0"/>
      </w:pPr>
    </w:p>
  </w:footnote>
  <w:footnote w:id="2">
    <w:p w14:paraId="6208FCA2" w14:textId="77777777" w:rsidR="00A02CDC" w:rsidRPr="0099603C" w:rsidRDefault="00A02CDC" w:rsidP="00A02CDC">
      <w:pPr>
        <w:pStyle w:val="FootnoteText"/>
        <w:rPr>
          <w:color w:val="1F497D" w:themeColor="text2"/>
        </w:rPr>
      </w:pPr>
      <w:r>
        <w:rPr>
          <w:rStyle w:val="FootnoteReference"/>
        </w:rPr>
        <w:footnoteRef/>
      </w:r>
      <w:r>
        <w:t xml:space="preserve"> </w:t>
      </w:r>
      <w:r w:rsidRPr="00436630">
        <w:t>Resource:</w:t>
      </w:r>
      <w:r w:rsidRPr="0099603C">
        <w:rPr>
          <w:color w:val="1F497D" w:themeColor="text2"/>
        </w:rPr>
        <w:t xml:space="preserve"> </w:t>
      </w:r>
      <w:hyperlink r:id="rId1" w:history="1">
        <w:r w:rsidRPr="0099603C">
          <w:rPr>
            <w:rStyle w:val="Hyperlink"/>
            <w:color w:val="1F497D" w:themeColor="text2"/>
          </w:rPr>
          <w:t>Sec. 161.178 MN Statutes</w:t>
        </w:r>
      </w:hyperlink>
      <w:r w:rsidRPr="0099603C">
        <w:rPr>
          <w:color w:val="1F497D" w:themeColor="text2"/>
        </w:rPr>
        <w:t xml:space="preserve"> </w:t>
      </w:r>
    </w:p>
    <w:p w14:paraId="0DD0C8DE" w14:textId="77777777" w:rsidR="00A02CDC" w:rsidRPr="0099603C" w:rsidRDefault="00A02CDC" w:rsidP="00A02CDC">
      <w:pPr>
        <w:pStyle w:val="FootnoteText"/>
        <w:rPr>
          <w:color w:val="1F497D" w:themeColor="text2"/>
        </w:rPr>
      </w:pPr>
      <w:hyperlink r:id="rId2" w:history="1">
        <w:r w:rsidRPr="0099603C">
          <w:rPr>
            <w:rStyle w:val="Hyperlink"/>
            <w:iCs/>
            <w:color w:val="1F497D" w:themeColor="text2"/>
          </w:rPr>
          <w:t>Transportation Greenhouse Gas Emissions Legislation - Sustainability and Public Health - MnDOT</w:t>
        </w:r>
      </w:hyperlink>
    </w:p>
  </w:footnote>
  <w:footnote w:id="3">
    <w:p w14:paraId="1AF15D01" w14:textId="77777777" w:rsidR="00A02CDC" w:rsidRPr="00D412BC" w:rsidRDefault="00A02CDC" w:rsidP="00A02CDC">
      <w:pPr>
        <w:pStyle w:val="FootnoteText"/>
        <w:rPr>
          <w:color w:val="1F497D" w:themeColor="text2"/>
        </w:rPr>
      </w:pPr>
      <w:r>
        <w:rPr>
          <w:rStyle w:val="FootnoteReference"/>
        </w:rPr>
        <w:footnoteRef/>
      </w:r>
      <w:r>
        <w:t xml:space="preserve"> </w:t>
      </w:r>
      <w:r w:rsidRPr="00436630">
        <w:t xml:space="preserve">Resource: </w:t>
      </w:r>
      <w:hyperlink r:id="rId3" w:history="1">
        <w:r w:rsidRPr="00D412BC">
          <w:rPr>
            <w:rStyle w:val="Hyperlink"/>
            <w:color w:val="1F497D" w:themeColor="text2"/>
          </w:rPr>
          <w:t>Sec. 161.178 MN Statutes</w:t>
        </w:r>
      </w:hyperlink>
      <w:r w:rsidRPr="00D412BC">
        <w:rPr>
          <w:color w:val="1F497D" w:themeColor="text2"/>
        </w:rPr>
        <w:t xml:space="preserve"> </w:t>
      </w:r>
    </w:p>
    <w:p w14:paraId="3889AD1B" w14:textId="77777777" w:rsidR="00A02CDC" w:rsidRDefault="00A02CDC" w:rsidP="00A02CDC">
      <w:pPr>
        <w:pStyle w:val="FootnoteText"/>
      </w:pPr>
      <w:hyperlink r:id="rId4" w:history="1">
        <w:r w:rsidRPr="00D412BC">
          <w:rPr>
            <w:rStyle w:val="Hyperlink"/>
            <w:iCs/>
            <w:color w:val="1F497D" w:themeColor="text2"/>
          </w:rPr>
          <w:t>Transportation Greenhouse Gas Emissions Legislation - Sustainability and Public Health - MnDOT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A4DE" w14:textId="77777777" w:rsidR="00BA52D1" w:rsidRDefault="00BA52D1" w:rsidP="00711226">
    <w:pPr>
      <w:tabs>
        <w:tab w:val="center" w:pos="5040"/>
        <w:tab w:val="right" w:pos="10080"/>
      </w:tabs>
    </w:pPr>
    <w:r>
      <w:t>[Type text]</w:t>
    </w:r>
    <w:r>
      <w:tab/>
      <w:t>[Type text]</w:t>
    </w:r>
    <w:r>
      <w:tab/>
      <w:t>[Type text]</w:t>
    </w:r>
  </w:p>
  <w:p w14:paraId="0D6B9BCA" w14:textId="77777777" w:rsidR="00BA52D1" w:rsidRDefault="00BA52D1"/>
  <w:p w14:paraId="74443E44" w14:textId="77777777" w:rsidR="00BA52D1" w:rsidRDefault="00BA52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D2E2DE"/>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14E355D"/>
    <w:multiLevelType w:val="hybridMultilevel"/>
    <w:tmpl w:val="1D8858AA"/>
    <w:lvl w:ilvl="0" w:tplc="F6747DAE">
      <w:start w:val="1"/>
      <w:numFmt w:val="decimal"/>
      <w:lvlText w:val="%1."/>
      <w:lvlJc w:val="left"/>
      <w:pPr>
        <w:ind w:left="720" w:hanging="360"/>
      </w:pPr>
      <w:rPr>
        <w:rFonts w:hint="default"/>
        <w:b/>
        <w:b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29DB5"/>
    <w:multiLevelType w:val="hybridMultilevel"/>
    <w:tmpl w:val="5EBE16F2"/>
    <w:lvl w:ilvl="0" w:tplc="85DCBBB0">
      <w:start w:val="1"/>
      <w:numFmt w:val="bullet"/>
      <w:lvlText w:val=""/>
      <w:lvlJc w:val="left"/>
      <w:pPr>
        <w:ind w:left="720" w:hanging="360"/>
      </w:pPr>
      <w:rPr>
        <w:rFonts w:ascii="Symbol" w:hAnsi="Symbol" w:hint="default"/>
      </w:rPr>
    </w:lvl>
    <w:lvl w:ilvl="1" w:tplc="F1283A9C">
      <w:start w:val="1"/>
      <w:numFmt w:val="bullet"/>
      <w:lvlText w:val="o"/>
      <w:lvlJc w:val="left"/>
      <w:pPr>
        <w:ind w:left="1440" w:hanging="360"/>
      </w:pPr>
      <w:rPr>
        <w:rFonts w:ascii="Courier New" w:hAnsi="Courier New" w:hint="default"/>
      </w:rPr>
    </w:lvl>
    <w:lvl w:ilvl="2" w:tplc="062660B6">
      <w:start w:val="1"/>
      <w:numFmt w:val="bullet"/>
      <w:lvlText w:val=""/>
      <w:lvlJc w:val="left"/>
      <w:pPr>
        <w:ind w:left="2160" w:hanging="360"/>
      </w:pPr>
      <w:rPr>
        <w:rFonts w:ascii="Wingdings" w:hAnsi="Wingdings" w:hint="default"/>
      </w:rPr>
    </w:lvl>
    <w:lvl w:ilvl="3" w:tplc="9C32CB2A">
      <w:start w:val="1"/>
      <w:numFmt w:val="bullet"/>
      <w:lvlText w:val=""/>
      <w:lvlJc w:val="left"/>
      <w:pPr>
        <w:ind w:left="2880" w:hanging="360"/>
      </w:pPr>
      <w:rPr>
        <w:rFonts w:ascii="Symbol" w:hAnsi="Symbol" w:hint="default"/>
      </w:rPr>
    </w:lvl>
    <w:lvl w:ilvl="4" w:tplc="8346AF4E">
      <w:start w:val="1"/>
      <w:numFmt w:val="bullet"/>
      <w:lvlText w:val="o"/>
      <w:lvlJc w:val="left"/>
      <w:pPr>
        <w:ind w:left="3600" w:hanging="360"/>
      </w:pPr>
      <w:rPr>
        <w:rFonts w:ascii="Courier New" w:hAnsi="Courier New" w:hint="default"/>
      </w:rPr>
    </w:lvl>
    <w:lvl w:ilvl="5" w:tplc="B86A56D6">
      <w:start w:val="1"/>
      <w:numFmt w:val="bullet"/>
      <w:lvlText w:val=""/>
      <w:lvlJc w:val="left"/>
      <w:pPr>
        <w:ind w:left="4320" w:hanging="360"/>
      </w:pPr>
      <w:rPr>
        <w:rFonts w:ascii="Wingdings" w:hAnsi="Wingdings" w:hint="default"/>
      </w:rPr>
    </w:lvl>
    <w:lvl w:ilvl="6" w:tplc="A798DE64">
      <w:start w:val="1"/>
      <w:numFmt w:val="bullet"/>
      <w:lvlText w:val=""/>
      <w:lvlJc w:val="left"/>
      <w:pPr>
        <w:ind w:left="5040" w:hanging="360"/>
      </w:pPr>
      <w:rPr>
        <w:rFonts w:ascii="Symbol" w:hAnsi="Symbol" w:hint="default"/>
      </w:rPr>
    </w:lvl>
    <w:lvl w:ilvl="7" w:tplc="3626DD6E">
      <w:start w:val="1"/>
      <w:numFmt w:val="bullet"/>
      <w:lvlText w:val="o"/>
      <w:lvlJc w:val="left"/>
      <w:pPr>
        <w:ind w:left="5760" w:hanging="360"/>
      </w:pPr>
      <w:rPr>
        <w:rFonts w:ascii="Courier New" w:hAnsi="Courier New" w:hint="default"/>
      </w:rPr>
    </w:lvl>
    <w:lvl w:ilvl="8" w:tplc="6C880BE0">
      <w:start w:val="1"/>
      <w:numFmt w:val="bullet"/>
      <w:lvlText w:val=""/>
      <w:lvlJc w:val="left"/>
      <w:pPr>
        <w:ind w:left="6480" w:hanging="360"/>
      </w:pPr>
      <w:rPr>
        <w:rFonts w:ascii="Wingdings" w:hAnsi="Wingdings" w:hint="default"/>
      </w:rPr>
    </w:lvl>
  </w:abstractNum>
  <w:abstractNum w:abstractNumId="3" w15:restartNumberingAfterBreak="0">
    <w:nsid w:val="06AD402E"/>
    <w:multiLevelType w:val="hybridMultilevel"/>
    <w:tmpl w:val="C078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B0692"/>
    <w:multiLevelType w:val="hybridMultilevel"/>
    <w:tmpl w:val="BD6A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A5927"/>
    <w:multiLevelType w:val="hybridMultilevel"/>
    <w:tmpl w:val="47608DEE"/>
    <w:lvl w:ilvl="0" w:tplc="47F2995E">
      <w:start w:val="1"/>
      <w:numFmt w:val="decimal"/>
      <w:lvlText w:val="%1."/>
      <w:lvlJc w:val="left"/>
      <w:pPr>
        <w:ind w:left="720" w:hanging="360"/>
      </w:pPr>
      <w:rPr>
        <w:rFonts w:hint="default"/>
        <w:b/>
        <w:b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2086194"/>
    <w:multiLevelType w:val="hybridMultilevel"/>
    <w:tmpl w:val="402A0418"/>
    <w:lvl w:ilvl="0" w:tplc="78D60BA0">
      <w:start w:val="1"/>
      <w:numFmt w:val="decimal"/>
      <w:lvlText w:val="%1."/>
      <w:lvlJc w:val="left"/>
      <w:pPr>
        <w:ind w:left="720" w:hanging="360"/>
      </w:pPr>
      <w:rPr>
        <w:b/>
        <w:bCs/>
        <w:strike w:val="0"/>
        <w:color w:val="5051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65180B"/>
    <w:multiLevelType w:val="hybridMultilevel"/>
    <w:tmpl w:val="14A6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E21EA"/>
    <w:multiLevelType w:val="hybridMultilevel"/>
    <w:tmpl w:val="DF1AACF8"/>
    <w:lvl w:ilvl="0" w:tplc="11DA18CA">
      <w:start w:val="1"/>
      <w:numFmt w:val="decimal"/>
      <w:lvlText w:val="%1."/>
      <w:lvlJc w:val="left"/>
      <w:pPr>
        <w:ind w:left="1080" w:hanging="360"/>
      </w:pPr>
      <w:rPr>
        <w:rFonts w:hint="default"/>
        <w:b/>
        <w:bCs/>
        <w:color w:val="50515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F656AE"/>
    <w:multiLevelType w:val="hybridMultilevel"/>
    <w:tmpl w:val="8B2ED4F0"/>
    <w:lvl w:ilvl="0" w:tplc="FFFFFFFF">
      <w:start w:val="1"/>
      <w:numFmt w:val="decimal"/>
      <w:lvlText w:val="%1."/>
      <w:lvlJc w:val="left"/>
      <w:pPr>
        <w:ind w:left="720" w:hanging="360"/>
      </w:pPr>
      <w:rPr>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33BC9"/>
    <w:multiLevelType w:val="hybridMultilevel"/>
    <w:tmpl w:val="B0C05E42"/>
    <w:lvl w:ilvl="0" w:tplc="7374C750">
      <w:start w:val="1"/>
      <w:numFmt w:val="decimal"/>
      <w:lvlText w:val="%1."/>
      <w:lvlJc w:val="left"/>
      <w:pPr>
        <w:ind w:left="720" w:hanging="360"/>
      </w:pPr>
      <w:rPr>
        <w:rFonts w:ascii="Arial" w:hAnsi="Arial" w:hint="default"/>
        <w:b/>
        <w:bCs/>
        <w:color w:val="505150"/>
      </w:rPr>
    </w:lvl>
    <w:lvl w:ilvl="1" w:tplc="74D0CD7E">
      <w:start w:val="1"/>
      <w:numFmt w:val="lowerLetter"/>
      <w:lvlText w:val="%2."/>
      <w:lvlJc w:val="left"/>
      <w:pPr>
        <w:ind w:left="1440" w:hanging="360"/>
      </w:pPr>
    </w:lvl>
    <w:lvl w:ilvl="2" w:tplc="11D20486">
      <w:start w:val="1"/>
      <w:numFmt w:val="lowerRoman"/>
      <w:lvlText w:val="%3."/>
      <w:lvlJc w:val="right"/>
      <w:pPr>
        <w:ind w:left="2160" w:hanging="180"/>
      </w:pPr>
    </w:lvl>
    <w:lvl w:ilvl="3" w:tplc="02AA712E">
      <w:start w:val="1"/>
      <w:numFmt w:val="decimal"/>
      <w:lvlText w:val="%4."/>
      <w:lvlJc w:val="left"/>
      <w:pPr>
        <w:ind w:left="2880" w:hanging="360"/>
      </w:pPr>
    </w:lvl>
    <w:lvl w:ilvl="4" w:tplc="634022F0">
      <w:start w:val="1"/>
      <w:numFmt w:val="lowerLetter"/>
      <w:lvlText w:val="%5."/>
      <w:lvlJc w:val="left"/>
      <w:pPr>
        <w:ind w:left="3600" w:hanging="360"/>
      </w:pPr>
    </w:lvl>
    <w:lvl w:ilvl="5" w:tplc="C1D48EB0">
      <w:start w:val="1"/>
      <w:numFmt w:val="lowerRoman"/>
      <w:lvlText w:val="%6."/>
      <w:lvlJc w:val="right"/>
      <w:pPr>
        <w:ind w:left="4320" w:hanging="180"/>
      </w:pPr>
    </w:lvl>
    <w:lvl w:ilvl="6" w:tplc="7D8E3158">
      <w:start w:val="1"/>
      <w:numFmt w:val="decimal"/>
      <w:lvlText w:val="%7."/>
      <w:lvlJc w:val="left"/>
      <w:pPr>
        <w:ind w:left="5040" w:hanging="360"/>
      </w:pPr>
    </w:lvl>
    <w:lvl w:ilvl="7" w:tplc="64CC7CB6">
      <w:start w:val="1"/>
      <w:numFmt w:val="lowerLetter"/>
      <w:lvlText w:val="%8."/>
      <w:lvlJc w:val="left"/>
      <w:pPr>
        <w:ind w:left="5760" w:hanging="360"/>
      </w:pPr>
    </w:lvl>
    <w:lvl w:ilvl="8" w:tplc="D388B55E">
      <w:start w:val="1"/>
      <w:numFmt w:val="lowerRoman"/>
      <w:lvlText w:val="%9."/>
      <w:lvlJc w:val="right"/>
      <w:pPr>
        <w:ind w:left="6480" w:hanging="180"/>
      </w:pPr>
    </w:lvl>
  </w:abstractNum>
  <w:abstractNum w:abstractNumId="13" w15:restartNumberingAfterBreak="0">
    <w:nsid w:val="38D16D98"/>
    <w:multiLevelType w:val="hybridMultilevel"/>
    <w:tmpl w:val="FD4874CC"/>
    <w:lvl w:ilvl="0" w:tplc="3B58EE6E">
      <w:start w:val="1"/>
      <w:numFmt w:val="decimal"/>
      <w:lvlText w:val="%1."/>
      <w:lvlJc w:val="left"/>
      <w:pPr>
        <w:ind w:left="720" w:hanging="360"/>
      </w:pPr>
      <w:rPr>
        <w:i w:val="0"/>
        <w:i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14751"/>
    <w:multiLevelType w:val="hybridMultilevel"/>
    <w:tmpl w:val="60ECC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E005D4"/>
    <w:multiLevelType w:val="hybridMultilevel"/>
    <w:tmpl w:val="97B68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3939A1"/>
    <w:multiLevelType w:val="hybridMultilevel"/>
    <w:tmpl w:val="9B42A876"/>
    <w:lvl w:ilvl="0" w:tplc="3E5E2AFC">
      <w:start w:val="1"/>
      <w:numFmt w:val="bullet"/>
      <w:lvlText w:val=""/>
      <w:lvlJc w:val="left"/>
      <w:pPr>
        <w:ind w:left="720" w:hanging="360"/>
      </w:pPr>
      <w:rPr>
        <w:rFonts w:ascii="Symbol" w:hAnsi="Symbol" w:hint="default"/>
      </w:rPr>
    </w:lvl>
    <w:lvl w:ilvl="1" w:tplc="862CD8A4">
      <w:start w:val="1"/>
      <w:numFmt w:val="bullet"/>
      <w:lvlText w:val="o"/>
      <w:lvlJc w:val="left"/>
      <w:pPr>
        <w:ind w:left="1440" w:hanging="360"/>
      </w:pPr>
      <w:rPr>
        <w:rFonts w:ascii="Courier New" w:hAnsi="Courier New" w:hint="default"/>
      </w:rPr>
    </w:lvl>
    <w:lvl w:ilvl="2" w:tplc="B5A03EF2">
      <w:start w:val="1"/>
      <w:numFmt w:val="bullet"/>
      <w:lvlText w:val=""/>
      <w:lvlJc w:val="left"/>
      <w:pPr>
        <w:ind w:left="2160" w:hanging="360"/>
      </w:pPr>
      <w:rPr>
        <w:rFonts w:ascii="Wingdings" w:hAnsi="Wingdings" w:hint="default"/>
      </w:rPr>
    </w:lvl>
    <w:lvl w:ilvl="3" w:tplc="1C46F4AE">
      <w:start w:val="1"/>
      <w:numFmt w:val="bullet"/>
      <w:lvlText w:val=""/>
      <w:lvlJc w:val="left"/>
      <w:pPr>
        <w:ind w:left="2880" w:hanging="360"/>
      </w:pPr>
      <w:rPr>
        <w:rFonts w:ascii="Symbol" w:hAnsi="Symbol" w:hint="default"/>
      </w:rPr>
    </w:lvl>
    <w:lvl w:ilvl="4" w:tplc="53E05128">
      <w:start w:val="1"/>
      <w:numFmt w:val="bullet"/>
      <w:lvlText w:val="o"/>
      <w:lvlJc w:val="left"/>
      <w:pPr>
        <w:ind w:left="3600" w:hanging="360"/>
      </w:pPr>
      <w:rPr>
        <w:rFonts w:ascii="Courier New" w:hAnsi="Courier New" w:hint="default"/>
      </w:rPr>
    </w:lvl>
    <w:lvl w:ilvl="5" w:tplc="C06EB50C">
      <w:start w:val="1"/>
      <w:numFmt w:val="bullet"/>
      <w:lvlText w:val=""/>
      <w:lvlJc w:val="left"/>
      <w:pPr>
        <w:ind w:left="4320" w:hanging="360"/>
      </w:pPr>
      <w:rPr>
        <w:rFonts w:ascii="Wingdings" w:hAnsi="Wingdings" w:hint="default"/>
      </w:rPr>
    </w:lvl>
    <w:lvl w:ilvl="6" w:tplc="053E60E8">
      <w:start w:val="1"/>
      <w:numFmt w:val="bullet"/>
      <w:lvlText w:val=""/>
      <w:lvlJc w:val="left"/>
      <w:pPr>
        <w:ind w:left="5040" w:hanging="360"/>
      </w:pPr>
      <w:rPr>
        <w:rFonts w:ascii="Symbol" w:hAnsi="Symbol" w:hint="default"/>
      </w:rPr>
    </w:lvl>
    <w:lvl w:ilvl="7" w:tplc="14F44428">
      <w:start w:val="1"/>
      <w:numFmt w:val="bullet"/>
      <w:lvlText w:val="o"/>
      <w:lvlJc w:val="left"/>
      <w:pPr>
        <w:ind w:left="5760" w:hanging="360"/>
      </w:pPr>
      <w:rPr>
        <w:rFonts w:ascii="Courier New" w:hAnsi="Courier New" w:hint="default"/>
      </w:rPr>
    </w:lvl>
    <w:lvl w:ilvl="8" w:tplc="221C03E2">
      <w:start w:val="1"/>
      <w:numFmt w:val="bullet"/>
      <w:lvlText w:val=""/>
      <w:lvlJc w:val="left"/>
      <w:pPr>
        <w:ind w:left="6480" w:hanging="360"/>
      </w:pPr>
      <w:rPr>
        <w:rFonts w:ascii="Wingdings" w:hAnsi="Wingdings" w:hint="default"/>
      </w:rPr>
    </w:lvl>
  </w:abstractNum>
  <w:abstractNum w:abstractNumId="17" w15:restartNumberingAfterBreak="0">
    <w:nsid w:val="3E767F82"/>
    <w:multiLevelType w:val="hybridMultilevel"/>
    <w:tmpl w:val="8B2ED4F0"/>
    <w:lvl w:ilvl="0" w:tplc="FFFFFFFF">
      <w:start w:val="1"/>
      <w:numFmt w:val="decimal"/>
      <w:lvlText w:val="%1."/>
      <w:lvlJc w:val="left"/>
      <w:pPr>
        <w:ind w:left="720" w:hanging="360"/>
      </w:pPr>
      <w:rPr>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046003"/>
    <w:multiLevelType w:val="hybridMultilevel"/>
    <w:tmpl w:val="9AC02F52"/>
    <w:lvl w:ilvl="0" w:tplc="DF6845DA">
      <w:start w:val="1"/>
      <w:numFmt w:val="decimal"/>
      <w:lvlText w:val="%1."/>
      <w:lvlJc w:val="left"/>
      <w:pPr>
        <w:ind w:left="1584" w:hanging="360"/>
      </w:pPr>
      <w:rPr>
        <w:rFonts w:hint="default"/>
        <w:b/>
        <w:bCs/>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9" w15:restartNumberingAfterBreak="0">
    <w:nsid w:val="459D29CC"/>
    <w:multiLevelType w:val="hybridMultilevel"/>
    <w:tmpl w:val="E5C0A5B8"/>
    <w:lvl w:ilvl="0" w:tplc="347CC104">
      <w:start w:val="1"/>
      <w:numFmt w:val="decimal"/>
      <w:lvlText w:val="%1."/>
      <w:lvlJc w:val="left"/>
      <w:pPr>
        <w:ind w:left="720" w:hanging="360"/>
      </w:pPr>
      <w:rPr>
        <w:b/>
        <w:bCs/>
        <w:strike w:val="0"/>
        <w:color w:val="505150"/>
      </w:rPr>
    </w:lvl>
    <w:lvl w:ilvl="1" w:tplc="E20218E4">
      <w:start w:val="1"/>
      <w:numFmt w:val="lowerLetter"/>
      <w:lvlText w:val="%2."/>
      <w:lvlJc w:val="left"/>
      <w:pPr>
        <w:ind w:left="1440" w:hanging="360"/>
      </w:pPr>
    </w:lvl>
    <w:lvl w:ilvl="2" w:tplc="363C03A2">
      <w:start w:val="1"/>
      <w:numFmt w:val="lowerRoman"/>
      <w:lvlText w:val="%3."/>
      <w:lvlJc w:val="right"/>
      <w:pPr>
        <w:ind w:left="2160" w:hanging="180"/>
      </w:pPr>
    </w:lvl>
    <w:lvl w:ilvl="3" w:tplc="A9DCE43E">
      <w:start w:val="1"/>
      <w:numFmt w:val="decimal"/>
      <w:lvlText w:val="%4."/>
      <w:lvlJc w:val="left"/>
      <w:pPr>
        <w:ind w:left="2880" w:hanging="360"/>
      </w:pPr>
    </w:lvl>
    <w:lvl w:ilvl="4" w:tplc="E22670E4">
      <w:start w:val="1"/>
      <w:numFmt w:val="lowerLetter"/>
      <w:lvlText w:val="%5."/>
      <w:lvlJc w:val="left"/>
      <w:pPr>
        <w:ind w:left="3600" w:hanging="360"/>
      </w:pPr>
    </w:lvl>
    <w:lvl w:ilvl="5" w:tplc="511C096E">
      <w:start w:val="1"/>
      <w:numFmt w:val="lowerRoman"/>
      <w:lvlText w:val="%6."/>
      <w:lvlJc w:val="right"/>
      <w:pPr>
        <w:ind w:left="4320" w:hanging="180"/>
      </w:pPr>
    </w:lvl>
    <w:lvl w:ilvl="6" w:tplc="3B30F9DE">
      <w:start w:val="1"/>
      <w:numFmt w:val="decimal"/>
      <w:lvlText w:val="%7."/>
      <w:lvlJc w:val="left"/>
      <w:pPr>
        <w:ind w:left="5040" w:hanging="360"/>
      </w:pPr>
    </w:lvl>
    <w:lvl w:ilvl="7" w:tplc="5A4CA32C">
      <w:start w:val="1"/>
      <w:numFmt w:val="lowerLetter"/>
      <w:lvlText w:val="%8."/>
      <w:lvlJc w:val="left"/>
      <w:pPr>
        <w:ind w:left="5760" w:hanging="360"/>
      </w:pPr>
    </w:lvl>
    <w:lvl w:ilvl="8" w:tplc="79CE5452">
      <w:start w:val="1"/>
      <w:numFmt w:val="lowerRoman"/>
      <w:lvlText w:val="%9."/>
      <w:lvlJc w:val="right"/>
      <w:pPr>
        <w:ind w:left="6480" w:hanging="180"/>
      </w:pPr>
    </w:lvl>
  </w:abstractNum>
  <w:abstractNum w:abstractNumId="20" w15:restartNumberingAfterBreak="0">
    <w:nsid w:val="480C2D24"/>
    <w:multiLevelType w:val="hybridMultilevel"/>
    <w:tmpl w:val="1546A588"/>
    <w:lvl w:ilvl="0" w:tplc="D4F8CF76">
      <w:start w:val="1"/>
      <w:numFmt w:val="decimal"/>
      <w:pStyle w:val="ListNumbered"/>
      <w:lvlText w:val="%1."/>
      <w:lvlJc w:val="left"/>
      <w:pPr>
        <w:ind w:left="720" w:hanging="360"/>
      </w:pPr>
      <w:rPr>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67E5E"/>
    <w:multiLevelType w:val="hybridMultilevel"/>
    <w:tmpl w:val="48B6F13C"/>
    <w:lvl w:ilvl="0" w:tplc="FFFFFFFF">
      <w:start w:val="1"/>
      <w:numFmt w:val="decimal"/>
      <w:lvlText w:val="%1."/>
      <w:lvlJc w:val="left"/>
      <w:pPr>
        <w:ind w:left="720" w:hanging="360"/>
      </w:pPr>
      <w:rPr>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2B8A"/>
    <w:multiLevelType w:val="hybridMultilevel"/>
    <w:tmpl w:val="B26A0F5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D98083"/>
    <w:multiLevelType w:val="hybridMultilevel"/>
    <w:tmpl w:val="FFFFFFFF"/>
    <w:lvl w:ilvl="0" w:tplc="7BF6E844">
      <w:start w:val="1"/>
      <w:numFmt w:val="bullet"/>
      <w:lvlText w:val=""/>
      <w:lvlJc w:val="left"/>
      <w:pPr>
        <w:ind w:left="1080" w:hanging="360"/>
      </w:pPr>
      <w:rPr>
        <w:rFonts w:ascii="Symbol" w:hAnsi="Symbol" w:hint="default"/>
      </w:rPr>
    </w:lvl>
    <w:lvl w:ilvl="1" w:tplc="2EACF566">
      <w:start w:val="1"/>
      <w:numFmt w:val="bullet"/>
      <w:lvlText w:val="o"/>
      <w:lvlJc w:val="left"/>
      <w:pPr>
        <w:ind w:left="1440" w:hanging="360"/>
      </w:pPr>
      <w:rPr>
        <w:rFonts w:ascii="Courier New" w:hAnsi="Courier New" w:hint="default"/>
      </w:rPr>
    </w:lvl>
    <w:lvl w:ilvl="2" w:tplc="0F9E8A2E">
      <w:start w:val="1"/>
      <w:numFmt w:val="bullet"/>
      <w:lvlText w:val=""/>
      <w:lvlJc w:val="left"/>
      <w:pPr>
        <w:ind w:left="2160" w:hanging="360"/>
      </w:pPr>
      <w:rPr>
        <w:rFonts w:ascii="Wingdings" w:hAnsi="Wingdings" w:hint="default"/>
      </w:rPr>
    </w:lvl>
    <w:lvl w:ilvl="3" w:tplc="6CAC64DC">
      <w:start w:val="1"/>
      <w:numFmt w:val="bullet"/>
      <w:lvlText w:val=""/>
      <w:lvlJc w:val="left"/>
      <w:pPr>
        <w:ind w:left="2880" w:hanging="360"/>
      </w:pPr>
      <w:rPr>
        <w:rFonts w:ascii="Symbol" w:hAnsi="Symbol" w:hint="default"/>
      </w:rPr>
    </w:lvl>
    <w:lvl w:ilvl="4" w:tplc="E5546A0C">
      <w:start w:val="1"/>
      <w:numFmt w:val="bullet"/>
      <w:lvlText w:val="o"/>
      <w:lvlJc w:val="left"/>
      <w:pPr>
        <w:ind w:left="3600" w:hanging="360"/>
      </w:pPr>
      <w:rPr>
        <w:rFonts w:ascii="Courier New" w:hAnsi="Courier New" w:hint="default"/>
      </w:rPr>
    </w:lvl>
    <w:lvl w:ilvl="5" w:tplc="CB34078C">
      <w:start w:val="1"/>
      <w:numFmt w:val="bullet"/>
      <w:lvlText w:val=""/>
      <w:lvlJc w:val="left"/>
      <w:pPr>
        <w:ind w:left="4320" w:hanging="360"/>
      </w:pPr>
      <w:rPr>
        <w:rFonts w:ascii="Wingdings" w:hAnsi="Wingdings" w:hint="default"/>
      </w:rPr>
    </w:lvl>
    <w:lvl w:ilvl="6" w:tplc="EB2EDC58">
      <w:start w:val="1"/>
      <w:numFmt w:val="bullet"/>
      <w:lvlText w:val=""/>
      <w:lvlJc w:val="left"/>
      <w:pPr>
        <w:ind w:left="5040" w:hanging="360"/>
      </w:pPr>
      <w:rPr>
        <w:rFonts w:ascii="Symbol" w:hAnsi="Symbol" w:hint="default"/>
      </w:rPr>
    </w:lvl>
    <w:lvl w:ilvl="7" w:tplc="D6D418E4">
      <w:start w:val="1"/>
      <w:numFmt w:val="bullet"/>
      <w:lvlText w:val="o"/>
      <w:lvlJc w:val="left"/>
      <w:pPr>
        <w:ind w:left="5760" w:hanging="360"/>
      </w:pPr>
      <w:rPr>
        <w:rFonts w:ascii="Courier New" w:hAnsi="Courier New" w:hint="default"/>
      </w:rPr>
    </w:lvl>
    <w:lvl w:ilvl="8" w:tplc="48822B20">
      <w:start w:val="1"/>
      <w:numFmt w:val="bullet"/>
      <w:lvlText w:val=""/>
      <w:lvlJc w:val="left"/>
      <w:pPr>
        <w:ind w:left="6480" w:hanging="360"/>
      </w:pPr>
      <w:rPr>
        <w:rFonts w:ascii="Wingdings" w:hAnsi="Wingdings" w:hint="default"/>
      </w:rPr>
    </w:lvl>
  </w:abstractNum>
  <w:abstractNum w:abstractNumId="24" w15:restartNumberingAfterBreak="0">
    <w:nsid w:val="54610B1E"/>
    <w:multiLevelType w:val="hybridMultilevel"/>
    <w:tmpl w:val="8DBCE4BE"/>
    <w:lvl w:ilvl="0" w:tplc="0A20BB44">
      <w:start w:val="1"/>
      <w:numFmt w:val="bullet"/>
      <w:lvlText w:val=""/>
      <w:lvlJc w:val="left"/>
      <w:pPr>
        <w:ind w:left="720" w:hanging="360"/>
      </w:pPr>
      <w:rPr>
        <w:rFonts w:ascii="Symbol" w:hAnsi="Symbol" w:hint="default"/>
      </w:rPr>
    </w:lvl>
    <w:lvl w:ilvl="1" w:tplc="C004CCE6">
      <w:start w:val="1"/>
      <w:numFmt w:val="bullet"/>
      <w:lvlText w:val="o"/>
      <w:lvlJc w:val="left"/>
      <w:pPr>
        <w:ind w:left="1440" w:hanging="360"/>
      </w:pPr>
      <w:rPr>
        <w:rFonts w:ascii="Courier New" w:hAnsi="Courier New" w:hint="default"/>
      </w:rPr>
    </w:lvl>
    <w:lvl w:ilvl="2" w:tplc="12A8FCE2">
      <w:start w:val="1"/>
      <w:numFmt w:val="bullet"/>
      <w:lvlText w:val=""/>
      <w:lvlJc w:val="left"/>
      <w:pPr>
        <w:ind w:left="2160" w:hanging="360"/>
      </w:pPr>
      <w:rPr>
        <w:rFonts w:ascii="Wingdings" w:hAnsi="Wingdings" w:hint="default"/>
      </w:rPr>
    </w:lvl>
    <w:lvl w:ilvl="3" w:tplc="3482EF16">
      <w:start w:val="1"/>
      <w:numFmt w:val="bullet"/>
      <w:lvlText w:val=""/>
      <w:lvlJc w:val="left"/>
      <w:pPr>
        <w:ind w:left="2880" w:hanging="360"/>
      </w:pPr>
      <w:rPr>
        <w:rFonts w:ascii="Symbol" w:hAnsi="Symbol" w:hint="default"/>
      </w:rPr>
    </w:lvl>
    <w:lvl w:ilvl="4" w:tplc="AD52D8D6">
      <w:start w:val="1"/>
      <w:numFmt w:val="bullet"/>
      <w:lvlText w:val="o"/>
      <w:lvlJc w:val="left"/>
      <w:pPr>
        <w:ind w:left="3600" w:hanging="360"/>
      </w:pPr>
      <w:rPr>
        <w:rFonts w:ascii="Courier New" w:hAnsi="Courier New" w:hint="default"/>
      </w:rPr>
    </w:lvl>
    <w:lvl w:ilvl="5" w:tplc="41E2DC54">
      <w:start w:val="1"/>
      <w:numFmt w:val="bullet"/>
      <w:lvlText w:val=""/>
      <w:lvlJc w:val="left"/>
      <w:pPr>
        <w:ind w:left="4320" w:hanging="360"/>
      </w:pPr>
      <w:rPr>
        <w:rFonts w:ascii="Wingdings" w:hAnsi="Wingdings" w:hint="default"/>
      </w:rPr>
    </w:lvl>
    <w:lvl w:ilvl="6" w:tplc="318ACFCC">
      <w:start w:val="1"/>
      <w:numFmt w:val="bullet"/>
      <w:lvlText w:val=""/>
      <w:lvlJc w:val="left"/>
      <w:pPr>
        <w:ind w:left="5040" w:hanging="360"/>
      </w:pPr>
      <w:rPr>
        <w:rFonts w:ascii="Symbol" w:hAnsi="Symbol" w:hint="default"/>
      </w:rPr>
    </w:lvl>
    <w:lvl w:ilvl="7" w:tplc="7598DF70">
      <w:start w:val="1"/>
      <w:numFmt w:val="bullet"/>
      <w:lvlText w:val="o"/>
      <w:lvlJc w:val="left"/>
      <w:pPr>
        <w:ind w:left="5760" w:hanging="360"/>
      </w:pPr>
      <w:rPr>
        <w:rFonts w:ascii="Courier New" w:hAnsi="Courier New" w:hint="default"/>
      </w:rPr>
    </w:lvl>
    <w:lvl w:ilvl="8" w:tplc="8EACD378">
      <w:start w:val="1"/>
      <w:numFmt w:val="bullet"/>
      <w:lvlText w:val=""/>
      <w:lvlJc w:val="left"/>
      <w:pPr>
        <w:ind w:left="6480" w:hanging="360"/>
      </w:pPr>
      <w:rPr>
        <w:rFonts w:ascii="Wingdings" w:hAnsi="Wingdings" w:hint="default"/>
      </w:rPr>
    </w:lvl>
  </w:abstractNum>
  <w:abstractNum w:abstractNumId="25" w15:restartNumberingAfterBreak="0">
    <w:nsid w:val="5904DC74"/>
    <w:multiLevelType w:val="hybridMultilevel"/>
    <w:tmpl w:val="7BBC519C"/>
    <w:lvl w:ilvl="0" w:tplc="332445FC">
      <w:start w:val="1"/>
      <w:numFmt w:val="bullet"/>
      <w:lvlText w:val=""/>
      <w:lvlJc w:val="left"/>
      <w:pPr>
        <w:ind w:left="720" w:hanging="360"/>
      </w:pPr>
      <w:rPr>
        <w:rFonts w:ascii="Symbol" w:hAnsi="Symbol" w:hint="default"/>
      </w:rPr>
    </w:lvl>
    <w:lvl w:ilvl="1" w:tplc="5EDCA8F0">
      <w:start w:val="1"/>
      <w:numFmt w:val="bullet"/>
      <w:lvlText w:val="o"/>
      <w:lvlJc w:val="left"/>
      <w:pPr>
        <w:ind w:left="1440" w:hanging="360"/>
      </w:pPr>
      <w:rPr>
        <w:rFonts w:ascii="Courier New" w:hAnsi="Courier New" w:hint="default"/>
      </w:rPr>
    </w:lvl>
    <w:lvl w:ilvl="2" w:tplc="7E1A086C">
      <w:start w:val="1"/>
      <w:numFmt w:val="bullet"/>
      <w:lvlText w:val=""/>
      <w:lvlJc w:val="left"/>
      <w:pPr>
        <w:ind w:left="2160" w:hanging="360"/>
      </w:pPr>
      <w:rPr>
        <w:rFonts w:ascii="Wingdings" w:hAnsi="Wingdings" w:hint="default"/>
      </w:rPr>
    </w:lvl>
    <w:lvl w:ilvl="3" w:tplc="972051BA">
      <w:start w:val="1"/>
      <w:numFmt w:val="bullet"/>
      <w:lvlText w:val=""/>
      <w:lvlJc w:val="left"/>
      <w:pPr>
        <w:ind w:left="2880" w:hanging="360"/>
      </w:pPr>
      <w:rPr>
        <w:rFonts w:ascii="Symbol" w:hAnsi="Symbol" w:hint="default"/>
      </w:rPr>
    </w:lvl>
    <w:lvl w:ilvl="4" w:tplc="DF1EFD38">
      <w:start w:val="1"/>
      <w:numFmt w:val="bullet"/>
      <w:lvlText w:val="o"/>
      <w:lvlJc w:val="left"/>
      <w:pPr>
        <w:ind w:left="3600" w:hanging="360"/>
      </w:pPr>
      <w:rPr>
        <w:rFonts w:ascii="Courier New" w:hAnsi="Courier New" w:hint="default"/>
      </w:rPr>
    </w:lvl>
    <w:lvl w:ilvl="5" w:tplc="EB3E5936">
      <w:start w:val="1"/>
      <w:numFmt w:val="bullet"/>
      <w:lvlText w:val=""/>
      <w:lvlJc w:val="left"/>
      <w:pPr>
        <w:ind w:left="4320" w:hanging="360"/>
      </w:pPr>
      <w:rPr>
        <w:rFonts w:ascii="Wingdings" w:hAnsi="Wingdings" w:hint="default"/>
      </w:rPr>
    </w:lvl>
    <w:lvl w:ilvl="6" w:tplc="E068A394">
      <w:start w:val="1"/>
      <w:numFmt w:val="bullet"/>
      <w:lvlText w:val=""/>
      <w:lvlJc w:val="left"/>
      <w:pPr>
        <w:ind w:left="5040" w:hanging="360"/>
      </w:pPr>
      <w:rPr>
        <w:rFonts w:ascii="Symbol" w:hAnsi="Symbol" w:hint="default"/>
      </w:rPr>
    </w:lvl>
    <w:lvl w:ilvl="7" w:tplc="E49A72DA">
      <w:start w:val="1"/>
      <w:numFmt w:val="bullet"/>
      <w:lvlText w:val="o"/>
      <w:lvlJc w:val="left"/>
      <w:pPr>
        <w:ind w:left="5760" w:hanging="360"/>
      </w:pPr>
      <w:rPr>
        <w:rFonts w:ascii="Courier New" w:hAnsi="Courier New" w:hint="default"/>
      </w:rPr>
    </w:lvl>
    <w:lvl w:ilvl="8" w:tplc="85B29350">
      <w:start w:val="1"/>
      <w:numFmt w:val="bullet"/>
      <w:lvlText w:val=""/>
      <w:lvlJc w:val="left"/>
      <w:pPr>
        <w:ind w:left="6480" w:hanging="360"/>
      </w:pPr>
      <w:rPr>
        <w:rFonts w:ascii="Wingdings" w:hAnsi="Wingdings" w:hint="default"/>
      </w:rPr>
    </w:lvl>
  </w:abstractNum>
  <w:abstractNum w:abstractNumId="26" w15:restartNumberingAfterBreak="0">
    <w:nsid w:val="5A5D0570"/>
    <w:multiLevelType w:val="hybridMultilevel"/>
    <w:tmpl w:val="FFFFFFFF"/>
    <w:lvl w:ilvl="0" w:tplc="AFE435BE">
      <w:start w:val="1"/>
      <w:numFmt w:val="bullet"/>
      <w:lvlText w:val=""/>
      <w:lvlJc w:val="left"/>
      <w:pPr>
        <w:ind w:left="1080" w:hanging="360"/>
      </w:pPr>
      <w:rPr>
        <w:rFonts w:ascii="Symbol" w:hAnsi="Symbol" w:hint="default"/>
      </w:rPr>
    </w:lvl>
    <w:lvl w:ilvl="1" w:tplc="35C410BC">
      <w:start w:val="1"/>
      <w:numFmt w:val="bullet"/>
      <w:lvlText w:val="o"/>
      <w:lvlJc w:val="left"/>
      <w:pPr>
        <w:ind w:left="1800" w:hanging="360"/>
      </w:pPr>
      <w:rPr>
        <w:rFonts w:ascii="Courier New" w:hAnsi="Courier New" w:hint="default"/>
      </w:rPr>
    </w:lvl>
    <w:lvl w:ilvl="2" w:tplc="7788FFAA">
      <w:start w:val="1"/>
      <w:numFmt w:val="bullet"/>
      <w:lvlText w:val=""/>
      <w:lvlJc w:val="left"/>
      <w:pPr>
        <w:ind w:left="2520" w:hanging="360"/>
      </w:pPr>
      <w:rPr>
        <w:rFonts w:ascii="Wingdings" w:hAnsi="Wingdings" w:hint="default"/>
      </w:rPr>
    </w:lvl>
    <w:lvl w:ilvl="3" w:tplc="AA4493B6">
      <w:start w:val="1"/>
      <w:numFmt w:val="bullet"/>
      <w:lvlText w:val=""/>
      <w:lvlJc w:val="left"/>
      <w:pPr>
        <w:ind w:left="3240" w:hanging="360"/>
      </w:pPr>
      <w:rPr>
        <w:rFonts w:ascii="Symbol" w:hAnsi="Symbol" w:hint="default"/>
      </w:rPr>
    </w:lvl>
    <w:lvl w:ilvl="4" w:tplc="4E7448D0">
      <w:start w:val="1"/>
      <w:numFmt w:val="bullet"/>
      <w:lvlText w:val="o"/>
      <w:lvlJc w:val="left"/>
      <w:pPr>
        <w:ind w:left="3960" w:hanging="360"/>
      </w:pPr>
      <w:rPr>
        <w:rFonts w:ascii="Courier New" w:hAnsi="Courier New" w:hint="default"/>
      </w:rPr>
    </w:lvl>
    <w:lvl w:ilvl="5" w:tplc="BE7E7AC0">
      <w:start w:val="1"/>
      <w:numFmt w:val="bullet"/>
      <w:lvlText w:val=""/>
      <w:lvlJc w:val="left"/>
      <w:pPr>
        <w:ind w:left="4680" w:hanging="360"/>
      </w:pPr>
      <w:rPr>
        <w:rFonts w:ascii="Wingdings" w:hAnsi="Wingdings" w:hint="default"/>
      </w:rPr>
    </w:lvl>
    <w:lvl w:ilvl="6" w:tplc="AB4E48D0">
      <w:start w:val="1"/>
      <w:numFmt w:val="bullet"/>
      <w:lvlText w:val=""/>
      <w:lvlJc w:val="left"/>
      <w:pPr>
        <w:ind w:left="5400" w:hanging="360"/>
      </w:pPr>
      <w:rPr>
        <w:rFonts w:ascii="Symbol" w:hAnsi="Symbol" w:hint="default"/>
      </w:rPr>
    </w:lvl>
    <w:lvl w:ilvl="7" w:tplc="A5C272E6">
      <w:start w:val="1"/>
      <w:numFmt w:val="bullet"/>
      <w:lvlText w:val="o"/>
      <w:lvlJc w:val="left"/>
      <w:pPr>
        <w:ind w:left="6120" w:hanging="360"/>
      </w:pPr>
      <w:rPr>
        <w:rFonts w:ascii="Courier New" w:hAnsi="Courier New" w:hint="default"/>
      </w:rPr>
    </w:lvl>
    <w:lvl w:ilvl="8" w:tplc="65D87D4A">
      <w:start w:val="1"/>
      <w:numFmt w:val="bullet"/>
      <w:lvlText w:val=""/>
      <w:lvlJc w:val="left"/>
      <w:pPr>
        <w:ind w:left="6840" w:hanging="360"/>
      </w:pPr>
      <w:rPr>
        <w:rFonts w:ascii="Wingdings" w:hAnsi="Wingdings" w:hint="default"/>
      </w:rPr>
    </w:lvl>
  </w:abstractNum>
  <w:abstractNum w:abstractNumId="27" w15:restartNumberingAfterBreak="0">
    <w:nsid w:val="5C0861BE"/>
    <w:multiLevelType w:val="hybridMultilevel"/>
    <w:tmpl w:val="15FA9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0F604"/>
    <w:multiLevelType w:val="hybridMultilevel"/>
    <w:tmpl w:val="4AF4EF0E"/>
    <w:lvl w:ilvl="0" w:tplc="7AE05F48">
      <w:start w:val="1"/>
      <w:numFmt w:val="decimal"/>
      <w:lvlText w:val="%1."/>
      <w:lvlJc w:val="left"/>
      <w:pPr>
        <w:ind w:left="720" w:hanging="360"/>
      </w:pPr>
      <w:rPr>
        <w:color w:val="505150"/>
      </w:rPr>
    </w:lvl>
    <w:lvl w:ilvl="1" w:tplc="B024EDC6">
      <w:start w:val="1"/>
      <w:numFmt w:val="lowerLetter"/>
      <w:lvlText w:val="%2."/>
      <w:lvlJc w:val="left"/>
      <w:pPr>
        <w:ind w:left="1440" w:hanging="360"/>
      </w:pPr>
    </w:lvl>
    <w:lvl w:ilvl="2" w:tplc="718A1870">
      <w:start w:val="1"/>
      <w:numFmt w:val="lowerRoman"/>
      <w:lvlText w:val="%3."/>
      <w:lvlJc w:val="right"/>
      <w:pPr>
        <w:ind w:left="2160" w:hanging="180"/>
      </w:pPr>
    </w:lvl>
    <w:lvl w:ilvl="3" w:tplc="F8A0AED0">
      <w:start w:val="1"/>
      <w:numFmt w:val="decimal"/>
      <w:lvlText w:val="%4."/>
      <w:lvlJc w:val="left"/>
      <w:pPr>
        <w:ind w:left="2880" w:hanging="360"/>
      </w:pPr>
    </w:lvl>
    <w:lvl w:ilvl="4" w:tplc="F5100D80">
      <w:start w:val="1"/>
      <w:numFmt w:val="lowerLetter"/>
      <w:lvlText w:val="%5."/>
      <w:lvlJc w:val="left"/>
      <w:pPr>
        <w:ind w:left="3600" w:hanging="360"/>
      </w:pPr>
    </w:lvl>
    <w:lvl w:ilvl="5" w:tplc="3516077E">
      <w:start w:val="1"/>
      <w:numFmt w:val="lowerRoman"/>
      <w:lvlText w:val="%6."/>
      <w:lvlJc w:val="right"/>
      <w:pPr>
        <w:ind w:left="4320" w:hanging="180"/>
      </w:pPr>
    </w:lvl>
    <w:lvl w:ilvl="6" w:tplc="DB0CD55E">
      <w:start w:val="1"/>
      <w:numFmt w:val="decimal"/>
      <w:lvlText w:val="%7."/>
      <w:lvlJc w:val="left"/>
      <w:pPr>
        <w:ind w:left="5040" w:hanging="360"/>
      </w:pPr>
    </w:lvl>
    <w:lvl w:ilvl="7" w:tplc="F482A49C">
      <w:start w:val="1"/>
      <w:numFmt w:val="lowerLetter"/>
      <w:lvlText w:val="%8."/>
      <w:lvlJc w:val="left"/>
      <w:pPr>
        <w:ind w:left="5760" w:hanging="360"/>
      </w:pPr>
    </w:lvl>
    <w:lvl w:ilvl="8" w:tplc="9FD88D9A">
      <w:start w:val="1"/>
      <w:numFmt w:val="lowerRoman"/>
      <w:lvlText w:val="%9."/>
      <w:lvlJc w:val="right"/>
      <w:pPr>
        <w:ind w:left="6480" w:hanging="180"/>
      </w:pPr>
    </w:lvl>
  </w:abstractNum>
  <w:abstractNum w:abstractNumId="29" w15:restartNumberingAfterBreak="0">
    <w:nsid w:val="5E245494"/>
    <w:multiLevelType w:val="hybridMultilevel"/>
    <w:tmpl w:val="01E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11450"/>
    <w:multiLevelType w:val="hybridMultilevel"/>
    <w:tmpl w:val="B26A0F52"/>
    <w:lvl w:ilvl="0" w:tplc="1ACA17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80B92"/>
    <w:multiLevelType w:val="hybridMultilevel"/>
    <w:tmpl w:val="98D46C2E"/>
    <w:lvl w:ilvl="0" w:tplc="FFFFFFFF">
      <w:start w:val="1"/>
      <w:numFmt w:val="decimal"/>
      <w:lvlText w:val="%1."/>
      <w:lvlJc w:val="left"/>
      <w:pPr>
        <w:ind w:left="720" w:hanging="360"/>
      </w:pPr>
      <w:rPr>
        <w:color w:val="50515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C91785"/>
    <w:multiLevelType w:val="hybridMultilevel"/>
    <w:tmpl w:val="5C9E7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99682"/>
    <w:multiLevelType w:val="hybridMultilevel"/>
    <w:tmpl w:val="038EBE62"/>
    <w:lvl w:ilvl="0" w:tplc="4010F514">
      <w:start w:val="1"/>
      <w:numFmt w:val="decimal"/>
      <w:lvlText w:val="%1."/>
      <w:lvlJc w:val="left"/>
      <w:pPr>
        <w:ind w:left="720" w:hanging="360"/>
      </w:pPr>
      <w:rPr>
        <w:color w:val="505150"/>
      </w:rPr>
    </w:lvl>
    <w:lvl w:ilvl="1" w:tplc="480C6D7E">
      <w:start w:val="1"/>
      <w:numFmt w:val="lowerLetter"/>
      <w:lvlText w:val="%2."/>
      <w:lvlJc w:val="left"/>
      <w:pPr>
        <w:ind w:left="1440" w:hanging="360"/>
      </w:pPr>
    </w:lvl>
    <w:lvl w:ilvl="2" w:tplc="D4D699A2">
      <w:start w:val="1"/>
      <w:numFmt w:val="lowerRoman"/>
      <w:lvlText w:val="%3."/>
      <w:lvlJc w:val="right"/>
      <w:pPr>
        <w:ind w:left="2160" w:hanging="180"/>
      </w:pPr>
    </w:lvl>
    <w:lvl w:ilvl="3" w:tplc="5D3EA470">
      <w:start w:val="1"/>
      <w:numFmt w:val="decimal"/>
      <w:lvlText w:val="%4."/>
      <w:lvlJc w:val="left"/>
      <w:pPr>
        <w:ind w:left="2880" w:hanging="360"/>
      </w:pPr>
    </w:lvl>
    <w:lvl w:ilvl="4" w:tplc="CE7AA502">
      <w:start w:val="1"/>
      <w:numFmt w:val="lowerLetter"/>
      <w:lvlText w:val="%5."/>
      <w:lvlJc w:val="left"/>
      <w:pPr>
        <w:ind w:left="3600" w:hanging="360"/>
      </w:pPr>
    </w:lvl>
    <w:lvl w:ilvl="5" w:tplc="EC52C2F2">
      <w:start w:val="1"/>
      <w:numFmt w:val="lowerRoman"/>
      <w:lvlText w:val="%6."/>
      <w:lvlJc w:val="right"/>
      <w:pPr>
        <w:ind w:left="4320" w:hanging="180"/>
      </w:pPr>
    </w:lvl>
    <w:lvl w:ilvl="6" w:tplc="746E0B40">
      <w:start w:val="1"/>
      <w:numFmt w:val="decimal"/>
      <w:lvlText w:val="%7."/>
      <w:lvlJc w:val="left"/>
      <w:pPr>
        <w:ind w:left="5040" w:hanging="360"/>
      </w:pPr>
    </w:lvl>
    <w:lvl w:ilvl="7" w:tplc="17A20F0E">
      <w:start w:val="1"/>
      <w:numFmt w:val="lowerLetter"/>
      <w:lvlText w:val="%8."/>
      <w:lvlJc w:val="left"/>
      <w:pPr>
        <w:ind w:left="5760" w:hanging="360"/>
      </w:pPr>
    </w:lvl>
    <w:lvl w:ilvl="8" w:tplc="D02EF5D6">
      <w:start w:val="1"/>
      <w:numFmt w:val="lowerRoman"/>
      <w:lvlText w:val="%9."/>
      <w:lvlJc w:val="right"/>
      <w:pPr>
        <w:ind w:left="6480" w:hanging="180"/>
      </w:pPr>
    </w:lvl>
  </w:abstractNum>
  <w:abstractNum w:abstractNumId="34" w15:restartNumberingAfterBreak="0">
    <w:nsid w:val="6A1C13E3"/>
    <w:multiLevelType w:val="hybridMultilevel"/>
    <w:tmpl w:val="4EBA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950FF"/>
    <w:multiLevelType w:val="hybridMultilevel"/>
    <w:tmpl w:val="056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B47F2"/>
    <w:multiLevelType w:val="hybridMultilevel"/>
    <w:tmpl w:val="6CAEE242"/>
    <w:lvl w:ilvl="0" w:tplc="C1044E72">
      <w:start w:val="1"/>
      <w:numFmt w:val="decimal"/>
      <w:lvlText w:val="%1."/>
      <w:lvlJc w:val="left"/>
      <w:pPr>
        <w:ind w:left="720" w:hanging="360"/>
      </w:pPr>
      <w:rPr>
        <w:color w:val="5051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27B395D"/>
    <w:multiLevelType w:val="hybridMultilevel"/>
    <w:tmpl w:val="48B6F13C"/>
    <w:lvl w:ilvl="0" w:tplc="FFFFFFFF">
      <w:start w:val="1"/>
      <w:numFmt w:val="decimal"/>
      <w:lvlText w:val="%1."/>
      <w:lvlJc w:val="left"/>
      <w:pPr>
        <w:ind w:left="720" w:hanging="360"/>
      </w:pPr>
      <w:rPr>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B6764"/>
    <w:multiLevelType w:val="hybridMultilevel"/>
    <w:tmpl w:val="78D85C02"/>
    <w:lvl w:ilvl="0" w:tplc="0E3449E4">
      <w:start w:val="1"/>
      <w:numFmt w:val="decimal"/>
      <w:lvlText w:val="%1."/>
      <w:lvlJc w:val="left"/>
      <w:pPr>
        <w:ind w:left="720" w:hanging="360"/>
      </w:pPr>
      <w:rPr>
        <w:rFonts w:hint="default"/>
        <w:b/>
        <w:b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4564E1"/>
    <w:multiLevelType w:val="hybridMultilevel"/>
    <w:tmpl w:val="98D46C2E"/>
    <w:lvl w:ilvl="0" w:tplc="C0C6E9B4">
      <w:start w:val="1"/>
      <w:numFmt w:val="decimal"/>
      <w:lvlText w:val="%1."/>
      <w:lvlJc w:val="left"/>
      <w:pPr>
        <w:ind w:left="720" w:hanging="360"/>
      </w:pPr>
      <w:rPr>
        <w:color w:val="5051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D85CE"/>
    <w:multiLevelType w:val="hybridMultilevel"/>
    <w:tmpl w:val="21F0548A"/>
    <w:lvl w:ilvl="0" w:tplc="B142A37C">
      <w:start w:val="1"/>
      <w:numFmt w:val="bullet"/>
      <w:lvlText w:val=""/>
      <w:lvlJc w:val="left"/>
      <w:pPr>
        <w:ind w:left="720" w:hanging="360"/>
      </w:pPr>
      <w:rPr>
        <w:rFonts w:ascii="Symbol" w:hAnsi="Symbol" w:hint="default"/>
      </w:rPr>
    </w:lvl>
    <w:lvl w:ilvl="1" w:tplc="4EEAFC3E">
      <w:start w:val="1"/>
      <w:numFmt w:val="bullet"/>
      <w:lvlText w:val="o"/>
      <w:lvlJc w:val="left"/>
      <w:pPr>
        <w:ind w:left="1440" w:hanging="360"/>
      </w:pPr>
      <w:rPr>
        <w:rFonts w:ascii="Courier New" w:hAnsi="Courier New" w:hint="default"/>
      </w:rPr>
    </w:lvl>
    <w:lvl w:ilvl="2" w:tplc="6A0CAFE6">
      <w:start w:val="1"/>
      <w:numFmt w:val="bullet"/>
      <w:lvlText w:val=""/>
      <w:lvlJc w:val="left"/>
      <w:pPr>
        <w:ind w:left="2160" w:hanging="360"/>
      </w:pPr>
      <w:rPr>
        <w:rFonts w:ascii="Wingdings" w:hAnsi="Wingdings" w:hint="default"/>
      </w:rPr>
    </w:lvl>
    <w:lvl w:ilvl="3" w:tplc="A518FEAE">
      <w:start w:val="1"/>
      <w:numFmt w:val="bullet"/>
      <w:lvlText w:val=""/>
      <w:lvlJc w:val="left"/>
      <w:pPr>
        <w:ind w:left="2880" w:hanging="360"/>
      </w:pPr>
      <w:rPr>
        <w:rFonts w:ascii="Symbol" w:hAnsi="Symbol" w:hint="default"/>
      </w:rPr>
    </w:lvl>
    <w:lvl w:ilvl="4" w:tplc="FCDAE376">
      <w:start w:val="1"/>
      <w:numFmt w:val="bullet"/>
      <w:lvlText w:val="o"/>
      <w:lvlJc w:val="left"/>
      <w:pPr>
        <w:ind w:left="3600" w:hanging="360"/>
      </w:pPr>
      <w:rPr>
        <w:rFonts w:ascii="Courier New" w:hAnsi="Courier New" w:hint="default"/>
      </w:rPr>
    </w:lvl>
    <w:lvl w:ilvl="5" w:tplc="B42221BE">
      <w:start w:val="1"/>
      <w:numFmt w:val="bullet"/>
      <w:lvlText w:val=""/>
      <w:lvlJc w:val="left"/>
      <w:pPr>
        <w:ind w:left="4320" w:hanging="360"/>
      </w:pPr>
      <w:rPr>
        <w:rFonts w:ascii="Wingdings" w:hAnsi="Wingdings" w:hint="default"/>
      </w:rPr>
    </w:lvl>
    <w:lvl w:ilvl="6" w:tplc="BF7EBDE8">
      <w:start w:val="1"/>
      <w:numFmt w:val="bullet"/>
      <w:lvlText w:val=""/>
      <w:lvlJc w:val="left"/>
      <w:pPr>
        <w:ind w:left="5040" w:hanging="360"/>
      </w:pPr>
      <w:rPr>
        <w:rFonts w:ascii="Symbol" w:hAnsi="Symbol" w:hint="default"/>
      </w:rPr>
    </w:lvl>
    <w:lvl w:ilvl="7" w:tplc="1580193C">
      <w:start w:val="1"/>
      <w:numFmt w:val="bullet"/>
      <w:lvlText w:val="o"/>
      <w:lvlJc w:val="left"/>
      <w:pPr>
        <w:ind w:left="5760" w:hanging="360"/>
      </w:pPr>
      <w:rPr>
        <w:rFonts w:ascii="Courier New" w:hAnsi="Courier New" w:hint="default"/>
      </w:rPr>
    </w:lvl>
    <w:lvl w:ilvl="8" w:tplc="6A1625DA">
      <w:start w:val="1"/>
      <w:numFmt w:val="bullet"/>
      <w:lvlText w:val=""/>
      <w:lvlJc w:val="left"/>
      <w:pPr>
        <w:ind w:left="6480" w:hanging="360"/>
      </w:pPr>
      <w:rPr>
        <w:rFonts w:ascii="Wingdings" w:hAnsi="Wingdings" w:hint="default"/>
      </w:rPr>
    </w:lvl>
  </w:abstractNum>
  <w:abstractNum w:abstractNumId="41" w15:restartNumberingAfterBreak="0">
    <w:nsid w:val="75AD4779"/>
    <w:multiLevelType w:val="hybridMultilevel"/>
    <w:tmpl w:val="73F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40CBC"/>
    <w:multiLevelType w:val="hybridMultilevel"/>
    <w:tmpl w:val="1C70418A"/>
    <w:lvl w:ilvl="0" w:tplc="DE342758">
      <w:start w:val="1"/>
      <w:numFmt w:val="decimal"/>
      <w:lvlText w:val="%1."/>
      <w:lvlJc w:val="left"/>
      <w:pPr>
        <w:ind w:left="720" w:hanging="360"/>
      </w:pPr>
      <w:rPr>
        <w:b/>
        <w:bCs/>
        <w:color w:val="505150"/>
      </w:rPr>
    </w:lvl>
    <w:lvl w:ilvl="1" w:tplc="83D2968A">
      <w:start w:val="1"/>
      <w:numFmt w:val="lowerLetter"/>
      <w:lvlText w:val="%2."/>
      <w:lvlJc w:val="left"/>
      <w:pPr>
        <w:ind w:left="1440" w:hanging="360"/>
      </w:pPr>
    </w:lvl>
    <w:lvl w:ilvl="2" w:tplc="A0EC0D28">
      <w:start w:val="1"/>
      <w:numFmt w:val="lowerRoman"/>
      <w:lvlText w:val="%3."/>
      <w:lvlJc w:val="right"/>
      <w:pPr>
        <w:ind w:left="2160" w:hanging="180"/>
      </w:pPr>
    </w:lvl>
    <w:lvl w:ilvl="3" w:tplc="FE48BDD6">
      <w:start w:val="1"/>
      <w:numFmt w:val="decimal"/>
      <w:lvlText w:val="%4."/>
      <w:lvlJc w:val="left"/>
      <w:pPr>
        <w:ind w:left="2880" w:hanging="360"/>
      </w:pPr>
    </w:lvl>
    <w:lvl w:ilvl="4" w:tplc="69CE94A4">
      <w:start w:val="1"/>
      <w:numFmt w:val="lowerLetter"/>
      <w:lvlText w:val="%5."/>
      <w:lvlJc w:val="left"/>
      <w:pPr>
        <w:ind w:left="3600" w:hanging="360"/>
      </w:pPr>
    </w:lvl>
    <w:lvl w:ilvl="5" w:tplc="FFBEBAF0">
      <w:start w:val="1"/>
      <w:numFmt w:val="lowerRoman"/>
      <w:lvlText w:val="%6."/>
      <w:lvlJc w:val="right"/>
      <w:pPr>
        <w:ind w:left="4320" w:hanging="180"/>
      </w:pPr>
    </w:lvl>
    <w:lvl w:ilvl="6" w:tplc="09F69A0C">
      <w:start w:val="1"/>
      <w:numFmt w:val="decimal"/>
      <w:lvlText w:val="%7."/>
      <w:lvlJc w:val="left"/>
      <w:pPr>
        <w:ind w:left="5040" w:hanging="360"/>
      </w:pPr>
    </w:lvl>
    <w:lvl w:ilvl="7" w:tplc="46E29F46">
      <w:start w:val="1"/>
      <w:numFmt w:val="lowerLetter"/>
      <w:lvlText w:val="%8."/>
      <w:lvlJc w:val="left"/>
      <w:pPr>
        <w:ind w:left="5760" w:hanging="360"/>
      </w:pPr>
    </w:lvl>
    <w:lvl w:ilvl="8" w:tplc="E6665D26">
      <w:start w:val="1"/>
      <w:numFmt w:val="lowerRoman"/>
      <w:lvlText w:val="%9."/>
      <w:lvlJc w:val="right"/>
      <w:pPr>
        <w:ind w:left="6480" w:hanging="180"/>
      </w:pPr>
    </w:lvl>
  </w:abstractNum>
  <w:abstractNum w:abstractNumId="43" w15:restartNumberingAfterBreak="0">
    <w:nsid w:val="7E3C0E91"/>
    <w:multiLevelType w:val="hybridMultilevel"/>
    <w:tmpl w:val="48B6F13C"/>
    <w:lvl w:ilvl="0" w:tplc="FFFFFFFF">
      <w:start w:val="1"/>
      <w:numFmt w:val="decimal"/>
      <w:lvlText w:val="%1."/>
      <w:lvlJc w:val="left"/>
      <w:pPr>
        <w:ind w:left="720" w:hanging="360"/>
      </w:pPr>
      <w:rPr>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4896269">
    <w:abstractNumId w:val="0"/>
  </w:num>
  <w:num w:numId="2" w16cid:durableId="1761870303">
    <w:abstractNumId w:val="6"/>
  </w:num>
  <w:num w:numId="3" w16cid:durableId="1449348675">
    <w:abstractNumId w:val="20"/>
  </w:num>
  <w:num w:numId="4" w16cid:durableId="1589314026">
    <w:abstractNumId w:val="29"/>
  </w:num>
  <w:num w:numId="5" w16cid:durableId="260184630">
    <w:abstractNumId w:val="39"/>
  </w:num>
  <w:num w:numId="6" w16cid:durableId="281696198">
    <w:abstractNumId w:val="14"/>
  </w:num>
  <w:num w:numId="7" w16cid:durableId="766778757">
    <w:abstractNumId w:val="32"/>
  </w:num>
  <w:num w:numId="8" w16cid:durableId="1006445669">
    <w:abstractNumId w:val="4"/>
  </w:num>
  <w:num w:numId="9" w16cid:durableId="687412169">
    <w:abstractNumId w:val="33"/>
  </w:num>
  <w:num w:numId="10" w16cid:durableId="1087311318">
    <w:abstractNumId w:val="3"/>
  </w:num>
  <w:num w:numId="11" w16cid:durableId="569191027">
    <w:abstractNumId w:val="31"/>
  </w:num>
  <w:num w:numId="12" w16cid:durableId="1241334378">
    <w:abstractNumId w:val="10"/>
  </w:num>
  <w:num w:numId="13" w16cid:durableId="1059094509">
    <w:abstractNumId w:val="37"/>
  </w:num>
  <w:num w:numId="14" w16cid:durableId="1988851207">
    <w:abstractNumId w:val="17"/>
  </w:num>
  <w:num w:numId="15" w16cid:durableId="884952699">
    <w:abstractNumId w:val="13"/>
  </w:num>
  <w:num w:numId="16" w16cid:durableId="316692162">
    <w:abstractNumId w:val="43"/>
  </w:num>
  <w:num w:numId="17" w16cid:durableId="910580362">
    <w:abstractNumId w:val="21"/>
  </w:num>
  <w:num w:numId="18" w16cid:durableId="494145529">
    <w:abstractNumId w:val="18"/>
  </w:num>
  <w:num w:numId="19" w16cid:durableId="1806503042">
    <w:abstractNumId w:val="26"/>
  </w:num>
  <w:num w:numId="20" w16cid:durableId="2092921541">
    <w:abstractNumId w:val="1"/>
  </w:num>
  <w:num w:numId="21" w16cid:durableId="1050306813">
    <w:abstractNumId w:val="23"/>
  </w:num>
  <w:num w:numId="22" w16cid:durableId="1112943975">
    <w:abstractNumId w:val="30"/>
  </w:num>
  <w:num w:numId="23" w16cid:durableId="148837881">
    <w:abstractNumId w:val="11"/>
  </w:num>
  <w:num w:numId="24" w16cid:durableId="851069915">
    <w:abstractNumId w:val="27"/>
  </w:num>
  <w:num w:numId="25" w16cid:durableId="971978031">
    <w:abstractNumId w:val="9"/>
  </w:num>
  <w:num w:numId="26" w16cid:durableId="1499148442">
    <w:abstractNumId w:val="42"/>
  </w:num>
  <w:num w:numId="27" w16cid:durableId="1181047530">
    <w:abstractNumId w:val="38"/>
  </w:num>
  <w:num w:numId="28" w16cid:durableId="161434975">
    <w:abstractNumId w:val="20"/>
    <w:lvlOverride w:ilvl="0">
      <w:startOverride w:val="1"/>
    </w:lvlOverride>
  </w:num>
  <w:num w:numId="29" w16cid:durableId="1138494994">
    <w:abstractNumId w:val="20"/>
    <w:lvlOverride w:ilvl="0">
      <w:startOverride w:val="1"/>
    </w:lvlOverride>
  </w:num>
  <w:num w:numId="30" w16cid:durableId="736779661">
    <w:abstractNumId w:val="25"/>
  </w:num>
  <w:num w:numId="31" w16cid:durableId="224684397">
    <w:abstractNumId w:val="24"/>
  </w:num>
  <w:num w:numId="32" w16cid:durableId="579019016">
    <w:abstractNumId w:val="20"/>
    <w:lvlOverride w:ilvl="0">
      <w:startOverride w:val="1"/>
    </w:lvlOverride>
  </w:num>
  <w:num w:numId="33" w16cid:durableId="1775976529">
    <w:abstractNumId w:val="40"/>
  </w:num>
  <w:num w:numId="34" w16cid:durableId="1406414534">
    <w:abstractNumId w:val="8"/>
  </w:num>
  <w:num w:numId="35" w16cid:durableId="2128695403">
    <w:abstractNumId w:val="22"/>
  </w:num>
  <w:num w:numId="36" w16cid:durableId="800467153">
    <w:abstractNumId w:val="16"/>
  </w:num>
  <w:num w:numId="37" w16cid:durableId="1775401579">
    <w:abstractNumId w:val="5"/>
  </w:num>
  <w:num w:numId="38" w16cid:durableId="1273174550">
    <w:abstractNumId w:val="28"/>
  </w:num>
  <w:num w:numId="39" w16cid:durableId="904417868">
    <w:abstractNumId w:val="41"/>
  </w:num>
  <w:num w:numId="40" w16cid:durableId="374428229">
    <w:abstractNumId w:val="35"/>
  </w:num>
  <w:num w:numId="41" w16cid:durableId="678116392">
    <w:abstractNumId w:val="19"/>
  </w:num>
  <w:num w:numId="42" w16cid:durableId="839933808">
    <w:abstractNumId w:val="7"/>
  </w:num>
  <w:num w:numId="43" w16cid:durableId="1481000196">
    <w:abstractNumId w:val="12"/>
  </w:num>
  <w:num w:numId="44" w16cid:durableId="1204177476">
    <w:abstractNumId w:val="2"/>
  </w:num>
  <w:num w:numId="45" w16cid:durableId="1421608924">
    <w:abstractNumId w:val="36"/>
  </w:num>
  <w:num w:numId="46" w16cid:durableId="1816755786">
    <w:abstractNumId w:val="15"/>
  </w:num>
  <w:num w:numId="47" w16cid:durableId="1678340763">
    <w:abstractNumId w:val="34"/>
  </w:num>
  <w:num w:numId="48" w16cid:durableId="557472341">
    <w:abstractNumId w:val="20"/>
    <w:lvlOverride w:ilvl="0">
      <w:startOverride w:val="1"/>
    </w:lvlOverride>
  </w:num>
  <w:num w:numId="49" w16cid:durableId="1954096315">
    <w:abstractNumId w:val="20"/>
    <w:lvlOverride w:ilvl="0">
      <w:startOverride w:val="1"/>
    </w:lvlOverride>
  </w:num>
  <w:num w:numId="50" w16cid:durableId="1118642772">
    <w:abstractNumId w:val="20"/>
    <w:lvlOverride w:ilvl="0">
      <w:startOverride w:val="1"/>
    </w:lvlOverride>
  </w:num>
  <w:num w:numId="51" w16cid:durableId="969479203">
    <w:abstractNumId w:val="20"/>
    <w:lvlOverride w:ilvl="0">
      <w:startOverride w:val="1"/>
    </w:lvlOverride>
  </w:num>
  <w:num w:numId="52" w16cid:durableId="50818021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D8517B"/>
    <w:rsid w:val="0000247A"/>
    <w:rsid w:val="00002ADB"/>
    <w:rsid w:val="0000551C"/>
    <w:rsid w:val="000063F1"/>
    <w:rsid w:val="000071F4"/>
    <w:rsid w:val="000074D6"/>
    <w:rsid w:val="0001273F"/>
    <w:rsid w:val="00012B0E"/>
    <w:rsid w:val="00013975"/>
    <w:rsid w:val="00013CE2"/>
    <w:rsid w:val="000214C3"/>
    <w:rsid w:val="000227E5"/>
    <w:rsid w:val="00022908"/>
    <w:rsid w:val="000235CB"/>
    <w:rsid w:val="00025D48"/>
    <w:rsid w:val="000272AA"/>
    <w:rsid w:val="000305D3"/>
    <w:rsid w:val="00030670"/>
    <w:rsid w:val="00030A1F"/>
    <w:rsid w:val="00032AF7"/>
    <w:rsid w:val="00033464"/>
    <w:rsid w:val="000337F4"/>
    <w:rsid w:val="000360A9"/>
    <w:rsid w:val="00036DD1"/>
    <w:rsid w:val="00041691"/>
    <w:rsid w:val="00042D10"/>
    <w:rsid w:val="000467CC"/>
    <w:rsid w:val="00047108"/>
    <w:rsid w:val="000473D2"/>
    <w:rsid w:val="0004745A"/>
    <w:rsid w:val="000542D3"/>
    <w:rsid w:val="00054814"/>
    <w:rsid w:val="0005715D"/>
    <w:rsid w:val="000576CD"/>
    <w:rsid w:val="00062B08"/>
    <w:rsid w:val="00063B13"/>
    <w:rsid w:val="00063CBF"/>
    <w:rsid w:val="0006457C"/>
    <w:rsid w:val="0006472E"/>
    <w:rsid w:val="000648E0"/>
    <w:rsid w:val="000662CE"/>
    <w:rsid w:val="00067B54"/>
    <w:rsid w:val="00067DBB"/>
    <w:rsid w:val="00070650"/>
    <w:rsid w:val="000708BC"/>
    <w:rsid w:val="00071808"/>
    <w:rsid w:val="00072661"/>
    <w:rsid w:val="00077512"/>
    <w:rsid w:val="000842D2"/>
    <w:rsid w:val="000854FF"/>
    <w:rsid w:val="0008621A"/>
    <w:rsid w:val="000877A7"/>
    <w:rsid w:val="0009440C"/>
    <w:rsid w:val="00095092"/>
    <w:rsid w:val="000972F7"/>
    <w:rsid w:val="000973B5"/>
    <w:rsid w:val="00097532"/>
    <w:rsid w:val="000A03D3"/>
    <w:rsid w:val="000A21E2"/>
    <w:rsid w:val="000A2293"/>
    <w:rsid w:val="000A4E9A"/>
    <w:rsid w:val="000A7333"/>
    <w:rsid w:val="000A7E4E"/>
    <w:rsid w:val="000B01A8"/>
    <w:rsid w:val="000B039F"/>
    <w:rsid w:val="000B263F"/>
    <w:rsid w:val="000B55C3"/>
    <w:rsid w:val="000B674B"/>
    <w:rsid w:val="000C0990"/>
    <w:rsid w:val="000C4FDF"/>
    <w:rsid w:val="000C5C7F"/>
    <w:rsid w:val="000C66CE"/>
    <w:rsid w:val="000C7456"/>
    <w:rsid w:val="000D2169"/>
    <w:rsid w:val="000D29AD"/>
    <w:rsid w:val="000D2DDA"/>
    <w:rsid w:val="000D3710"/>
    <w:rsid w:val="000D399A"/>
    <w:rsid w:val="000D5233"/>
    <w:rsid w:val="000D64DB"/>
    <w:rsid w:val="000D7181"/>
    <w:rsid w:val="000D75C8"/>
    <w:rsid w:val="000E1027"/>
    <w:rsid w:val="000E14F9"/>
    <w:rsid w:val="000E1A5D"/>
    <w:rsid w:val="000E3347"/>
    <w:rsid w:val="000E38A1"/>
    <w:rsid w:val="000E43C1"/>
    <w:rsid w:val="000E4ED7"/>
    <w:rsid w:val="000E7EDC"/>
    <w:rsid w:val="000E7EDD"/>
    <w:rsid w:val="000F28E6"/>
    <w:rsid w:val="000F347A"/>
    <w:rsid w:val="000F4176"/>
    <w:rsid w:val="000F4872"/>
    <w:rsid w:val="000F4C1A"/>
    <w:rsid w:val="000F5E1B"/>
    <w:rsid w:val="000F6B88"/>
    <w:rsid w:val="000F739E"/>
    <w:rsid w:val="0010195F"/>
    <w:rsid w:val="0010285E"/>
    <w:rsid w:val="00105181"/>
    <w:rsid w:val="0010688A"/>
    <w:rsid w:val="00111832"/>
    <w:rsid w:val="0011299D"/>
    <w:rsid w:val="00113AA2"/>
    <w:rsid w:val="00116353"/>
    <w:rsid w:val="001176D4"/>
    <w:rsid w:val="001200C1"/>
    <w:rsid w:val="00121844"/>
    <w:rsid w:val="00122872"/>
    <w:rsid w:val="00123DF3"/>
    <w:rsid w:val="00124A37"/>
    <w:rsid w:val="00126052"/>
    <w:rsid w:val="00126B74"/>
    <w:rsid w:val="00131166"/>
    <w:rsid w:val="001329DA"/>
    <w:rsid w:val="00135F9A"/>
    <w:rsid w:val="00136779"/>
    <w:rsid w:val="0013737B"/>
    <w:rsid w:val="0014185F"/>
    <w:rsid w:val="001446E9"/>
    <w:rsid w:val="00145B59"/>
    <w:rsid w:val="0014754A"/>
    <w:rsid w:val="00150624"/>
    <w:rsid w:val="00152804"/>
    <w:rsid w:val="00155EE7"/>
    <w:rsid w:val="00161C5B"/>
    <w:rsid w:val="00163CC2"/>
    <w:rsid w:val="00164AD0"/>
    <w:rsid w:val="00165B92"/>
    <w:rsid w:val="0016659C"/>
    <w:rsid w:val="00167FA1"/>
    <w:rsid w:val="0017081F"/>
    <w:rsid w:val="00170CF3"/>
    <w:rsid w:val="0017377D"/>
    <w:rsid w:val="001739B1"/>
    <w:rsid w:val="00173BC6"/>
    <w:rsid w:val="00174DCB"/>
    <w:rsid w:val="001753AE"/>
    <w:rsid w:val="00175AD9"/>
    <w:rsid w:val="001803AD"/>
    <w:rsid w:val="00180F61"/>
    <w:rsid w:val="00181FEA"/>
    <w:rsid w:val="001837E8"/>
    <w:rsid w:val="001858D2"/>
    <w:rsid w:val="00187303"/>
    <w:rsid w:val="00187D59"/>
    <w:rsid w:val="0019202F"/>
    <w:rsid w:val="00193E73"/>
    <w:rsid w:val="00194A84"/>
    <w:rsid w:val="001960BC"/>
    <w:rsid w:val="00197509"/>
    <w:rsid w:val="001A30A8"/>
    <w:rsid w:val="001A574C"/>
    <w:rsid w:val="001B0158"/>
    <w:rsid w:val="001B07AC"/>
    <w:rsid w:val="001B388C"/>
    <w:rsid w:val="001B4EE7"/>
    <w:rsid w:val="001C0EBD"/>
    <w:rsid w:val="001C21E3"/>
    <w:rsid w:val="001C2517"/>
    <w:rsid w:val="001C2782"/>
    <w:rsid w:val="001C2D25"/>
    <w:rsid w:val="001C3CA4"/>
    <w:rsid w:val="001C5268"/>
    <w:rsid w:val="001C7144"/>
    <w:rsid w:val="001C71A2"/>
    <w:rsid w:val="001C74FC"/>
    <w:rsid w:val="001D0005"/>
    <w:rsid w:val="001D3590"/>
    <w:rsid w:val="001D368F"/>
    <w:rsid w:val="001D3FBA"/>
    <w:rsid w:val="001D440F"/>
    <w:rsid w:val="001D4E6E"/>
    <w:rsid w:val="001D504A"/>
    <w:rsid w:val="001D733A"/>
    <w:rsid w:val="001E163A"/>
    <w:rsid w:val="001E2112"/>
    <w:rsid w:val="001E2F45"/>
    <w:rsid w:val="001E3722"/>
    <w:rsid w:val="001E3E8D"/>
    <w:rsid w:val="001E4D8B"/>
    <w:rsid w:val="001E4ED9"/>
    <w:rsid w:val="001E70DA"/>
    <w:rsid w:val="001F10A3"/>
    <w:rsid w:val="001F1CFC"/>
    <w:rsid w:val="001F50D6"/>
    <w:rsid w:val="001F57C1"/>
    <w:rsid w:val="001F7C90"/>
    <w:rsid w:val="0020239F"/>
    <w:rsid w:val="0020380E"/>
    <w:rsid w:val="00203F22"/>
    <w:rsid w:val="00204514"/>
    <w:rsid w:val="0020575F"/>
    <w:rsid w:val="00210756"/>
    <w:rsid w:val="002108EE"/>
    <w:rsid w:val="002113FE"/>
    <w:rsid w:val="00211599"/>
    <w:rsid w:val="00213003"/>
    <w:rsid w:val="00215ADE"/>
    <w:rsid w:val="00215F73"/>
    <w:rsid w:val="00216416"/>
    <w:rsid w:val="00216F83"/>
    <w:rsid w:val="002177BF"/>
    <w:rsid w:val="00220486"/>
    <w:rsid w:val="00220CB4"/>
    <w:rsid w:val="00220E32"/>
    <w:rsid w:val="002218A7"/>
    <w:rsid w:val="00223CF9"/>
    <w:rsid w:val="0022493B"/>
    <w:rsid w:val="00225BD8"/>
    <w:rsid w:val="00226C98"/>
    <w:rsid w:val="00226E18"/>
    <w:rsid w:val="00230ADF"/>
    <w:rsid w:val="00233D6B"/>
    <w:rsid w:val="00233F40"/>
    <w:rsid w:val="00233F41"/>
    <w:rsid w:val="002346D4"/>
    <w:rsid w:val="00235FBF"/>
    <w:rsid w:val="002360D5"/>
    <w:rsid w:val="00236AD4"/>
    <w:rsid w:val="00236C28"/>
    <w:rsid w:val="00237AA5"/>
    <w:rsid w:val="00237D13"/>
    <w:rsid w:val="00246820"/>
    <w:rsid w:val="00246AB9"/>
    <w:rsid w:val="00247AEB"/>
    <w:rsid w:val="0025015C"/>
    <w:rsid w:val="00250F59"/>
    <w:rsid w:val="00253FEB"/>
    <w:rsid w:val="00255172"/>
    <w:rsid w:val="0025736F"/>
    <w:rsid w:val="00264BDF"/>
    <w:rsid w:val="00265519"/>
    <w:rsid w:val="00267700"/>
    <w:rsid w:val="00267A75"/>
    <w:rsid w:val="00273DDB"/>
    <w:rsid w:val="002751B4"/>
    <w:rsid w:val="002761B3"/>
    <w:rsid w:val="002769C7"/>
    <w:rsid w:val="00277A6F"/>
    <w:rsid w:val="00277E61"/>
    <w:rsid w:val="0028086A"/>
    <w:rsid w:val="002808BB"/>
    <w:rsid w:val="0028126B"/>
    <w:rsid w:val="00282A80"/>
    <w:rsid w:val="00284B2B"/>
    <w:rsid w:val="00285555"/>
    <w:rsid w:val="00286C7A"/>
    <w:rsid w:val="00287A88"/>
    <w:rsid w:val="002903D0"/>
    <w:rsid w:val="00290B37"/>
    <w:rsid w:val="00293807"/>
    <w:rsid w:val="0029518F"/>
    <w:rsid w:val="002A0196"/>
    <w:rsid w:val="002A1E79"/>
    <w:rsid w:val="002A4C52"/>
    <w:rsid w:val="002A4EBB"/>
    <w:rsid w:val="002A61C8"/>
    <w:rsid w:val="002A69FE"/>
    <w:rsid w:val="002B1269"/>
    <w:rsid w:val="002B4397"/>
    <w:rsid w:val="002B510E"/>
    <w:rsid w:val="002B61B8"/>
    <w:rsid w:val="002B7746"/>
    <w:rsid w:val="002C0AC5"/>
    <w:rsid w:val="002C13C4"/>
    <w:rsid w:val="002C1FF4"/>
    <w:rsid w:val="002C2FD0"/>
    <w:rsid w:val="002C459F"/>
    <w:rsid w:val="002C466C"/>
    <w:rsid w:val="002C627D"/>
    <w:rsid w:val="002D39CF"/>
    <w:rsid w:val="002D457A"/>
    <w:rsid w:val="002D6130"/>
    <w:rsid w:val="002D6404"/>
    <w:rsid w:val="002E0699"/>
    <w:rsid w:val="002E0A3D"/>
    <w:rsid w:val="002E2608"/>
    <w:rsid w:val="002E4204"/>
    <w:rsid w:val="002E4564"/>
    <w:rsid w:val="002E6018"/>
    <w:rsid w:val="002E6375"/>
    <w:rsid w:val="002F4183"/>
    <w:rsid w:val="002F66DC"/>
    <w:rsid w:val="002F69F9"/>
    <w:rsid w:val="002F6B6A"/>
    <w:rsid w:val="002F71ED"/>
    <w:rsid w:val="002F720E"/>
    <w:rsid w:val="0030064F"/>
    <w:rsid w:val="003007CF"/>
    <w:rsid w:val="0030200F"/>
    <w:rsid w:val="00303781"/>
    <w:rsid w:val="0030481C"/>
    <w:rsid w:val="00305B3B"/>
    <w:rsid w:val="00311C6B"/>
    <w:rsid w:val="003125B6"/>
    <w:rsid w:val="00313CA0"/>
    <w:rsid w:val="00314364"/>
    <w:rsid w:val="0031491A"/>
    <w:rsid w:val="00315D36"/>
    <w:rsid w:val="00316FCF"/>
    <w:rsid w:val="0031729A"/>
    <w:rsid w:val="0031730E"/>
    <w:rsid w:val="003217E0"/>
    <w:rsid w:val="00321F1A"/>
    <w:rsid w:val="00322881"/>
    <w:rsid w:val="00322CFA"/>
    <w:rsid w:val="00322E79"/>
    <w:rsid w:val="00322F97"/>
    <w:rsid w:val="00325661"/>
    <w:rsid w:val="00326D3D"/>
    <w:rsid w:val="00333842"/>
    <w:rsid w:val="0033451E"/>
    <w:rsid w:val="0033552E"/>
    <w:rsid w:val="00335BD7"/>
    <w:rsid w:val="00336166"/>
    <w:rsid w:val="00336461"/>
    <w:rsid w:val="00337090"/>
    <w:rsid w:val="00337255"/>
    <w:rsid w:val="003400E0"/>
    <w:rsid w:val="00341244"/>
    <w:rsid w:val="00341A8F"/>
    <w:rsid w:val="00341D97"/>
    <w:rsid w:val="00345913"/>
    <w:rsid w:val="00346145"/>
    <w:rsid w:val="003469C2"/>
    <w:rsid w:val="003500B7"/>
    <w:rsid w:val="003504BF"/>
    <w:rsid w:val="00351931"/>
    <w:rsid w:val="00352682"/>
    <w:rsid w:val="0035409B"/>
    <w:rsid w:val="00355639"/>
    <w:rsid w:val="00356CB8"/>
    <w:rsid w:val="0036017B"/>
    <w:rsid w:val="0036265B"/>
    <w:rsid w:val="00362832"/>
    <w:rsid w:val="00362A05"/>
    <w:rsid w:val="00363352"/>
    <w:rsid w:val="0036377A"/>
    <w:rsid w:val="00364810"/>
    <w:rsid w:val="00366C2A"/>
    <w:rsid w:val="0036754E"/>
    <w:rsid w:val="00367BF0"/>
    <w:rsid w:val="0037493C"/>
    <w:rsid w:val="0037599C"/>
    <w:rsid w:val="00380478"/>
    <w:rsid w:val="00381171"/>
    <w:rsid w:val="0038238A"/>
    <w:rsid w:val="00383038"/>
    <w:rsid w:val="00386BA0"/>
    <w:rsid w:val="00387CF3"/>
    <w:rsid w:val="0039130E"/>
    <w:rsid w:val="00391A45"/>
    <w:rsid w:val="003920AC"/>
    <w:rsid w:val="00392AC2"/>
    <w:rsid w:val="00393E88"/>
    <w:rsid w:val="00396A72"/>
    <w:rsid w:val="00397D2A"/>
    <w:rsid w:val="003A0E27"/>
    <w:rsid w:val="003A1491"/>
    <w:rsid w:val="003A2B7A"/>
    <w:rsid w:val="003A37F5"/>
    <w:rsid w:val="003A4F23"/>
    <w:rsid w:val="003A52CB"/>
    <w:rsid w:val="003A7200"/>
    <w:rsid w:val="003A7CD0"/>
    <w:rsid w:val="003A7D92"/>
    <w:rsid w:val="003B0EDC"/>
    <w:rsid w:val="003B2362"/>
    <w:rsid w:val="003B28BA"/>
    <w:rsid w:val="003B2D10"/>
    <w:rsid w:val="003B313B"/>
    <w:rsid w:val="003B4BCE"/>
    <w:rsid w:val="003B536A"/>
    <w:rsid w:val="003B6055"/>
    <w:rsid w:val="003B64C6"/>
    <w:rsid w:val="003B6E54"/>
    <w:rsid w:val="003B7CCB"/>
    <w:rsid w:val="003C1E76"/>
    <w:rsid w:val="003C291B"/>
    <w:rsid w:val="003C5804"/>
    <w:rsid w:val="003C6477"/>
    <w:rsid w:val="003D1C4C"/>
    <w:rsid w:val="003D4D13"/>
    <w:rsid w:val="003D4E71"/>
    <w:rsid w:val="003D622E"/>
    <w:rsid w:val="003D6405"/>
    <w:rsid w:val="003E1017"/>
    <w:rsid w:val="003E381A"/>
    <w:rsid w:val="003E5363"/>
    <w:rsid w:val="003E7EC9"/>
    <w:rsid w:val="003E7F9E"/>
    <w:rsid w:val="003F3C76"/>
    <w:rsid w:val="003F4D1D"/>
    <w:rsid w:val="003F4EA2"/>
    <w:rsid w:val="004011A8"/>
    <w:rsid w:val="00404499"/>
    <w:rsid w:val="00404A28"/>
    <w:rsid w:val="00404BB3"/>
    <w:rsid w:val="00404DD3"/>
    <w:rsid w:val="00405769"/>
    <w:rsid w:val="00405E16"/>
    <w:rsid w:val="004069E9"/>
    <w:rsid w:val="00407D98"/>
    <w:rsid w:val="00410BA8"/>
    <w:rsid w:val="0041170A"/>
    <w:rsid w:val="004132A4"/>
    <w:rsid w:val="0041614B"/>
    <w:rsid w:val="00416FD2"/>
    <w:rsid w:val="00417DB1"/>
    <w:rsid w:val="00420DEE"/>
    <w:rsid w:val="00420FF5"/>
    <w:rsid w:val="00424A0A"/>
    <w:rsid w:val="00424A9E"/>
    <w:rsid w:val="0042548D"/>
    <w:rsid w:val="004267A8"/>
    <w:rsid w:val="00426854"/>
    <w:rsid w:val="004304A5"/>
    <w:rsid w:val="0043108E"/>
    <w:rsid w:val="004337FB"/>
    <w:rsid w:val="00435215"/>
    <w:rsid w:val="004353D9"/>
    <w:rsid w:val="00435A1E"/>
    <w:rsid w:val="00435EBD"/>
    <w:rsid w:val="00436AD1"/>
    <w:rsid w:val="00440518"/>
    <w:rsid w:val="004410C2"/>
    <w:rsid w:val="004430AB"/>
    <w:rsid w:val="00443C77"/>
    <w:rsid w:val="004445C7"/>
    <w:rsid w:val="00444917"/>
    <w:rsid w:val="004464B3"/>
    <w:rsid w:val="004515D2"/>
    <w:rsid w:val="00453FCF"/>
    <w:rsid w:val="004610E6"/>
    <w:rsid w:val="004616A3"/>
    <w:rsid w:val="00461B1E"/>
    <w:rsid w:val="00462AA7"/>
    <w:rsid w:val="00462DD5"/>
    <w:rsid w:val="00464F82"/>
    <w:rsid w:val="00466768"/>
    <w:rsid w:val="00466953"/>
    <w:rsid w:val="00467E6C"/>
    <w:rsid w:val="004701A3"/>
    <w:rsid w:val="0047022C"/>
    <w:rsid w:val="00471ABC"/>
    <w:rsid w:val="00471B75"/>
    <w:rsid w:val="00472455"/>
    <w:rsid w:val="00473847"/>
    <w:rsid w:val="004743D8"/>
    <w:rsid w:val="00474AB4"/>
    <w:rsid w:val="00477A4D"/>
    <w:rsid w:val="00482463"/>
    <w:rsid w:val="0048384B"/>
    <w:rsid w:val="00483924"/>
    <w:rsid w:val="00483C58"/>
    <w:rsid w:val="00484B29"/>
    <w:rsid w:val="00485D7F"/>
    <w:rsid w:val="004867DC"/>
    <w:rsid w:val="00486C9B"/>
    <w:rsid w:val="00486E2E"/>
    <w:rsid w:val="00486E7D"/>
    <w:rsid w:val="00487AF4"/>
    <w:rsid w:val="004908E8"/>
    <w:rsid w:val="00491F08"/>
    <w:rsid w:val="00492E5B"/>
    <w:rsid w:val="004940F8"/>
    <w:rsid w:val="0049410C"/>
    <w:rsid w:val="004941AC"/>
    <w:rsid w:val="00496D6E"/>
    <w:rsid w:val="0049710E"/>
    <w:rsid w:val="004A10A7"/>
    <w:rsid w:val="004A33CB"/>
    <w:rsid w:val="004A55CD"/>
    <w:rsid w:val="004A6697"/>
    <w:rsid w:val="004A7176"/>
    <w:rsid w:val="004A7671"/>
    <w:rsid w:val="004B22FF"/>
    <w:rsid w:val="004B2307"/>
    <w:rsid w:val="004B2462"/>
    <w:rsid w:val="004B3647"/>
    <w:rsid w:val="004B3F6D"/>
    <w:rsid w:val="004B3F9D"/>
    <w:rsid w:val="004B4182"/>
    <w:rsid w:val="004B53AD"/>
    <w:rsid w:val="004B5EC4"/>
    <w:rsid w:val="004B6AC3"/>
    <w:rsid w:val="004B79A4"/>
    <w:rsid w:val="004C0F3B"/>
    <w:rsid w:val="004C1678"/>
    <w:rsid w:val="004C1C0A"/>
    <w:rsid w:val="004C1E8F"/>
    <w:rsid w:val="004C3E1C"/>
    <w:rsid w:val="004C61CD"/>
    <w:rsid w:val="004C66B7"/>
    <w:rsid w:val="004C7E52"/>
    <w:rsid w:val="004D25B5"/>
    <w:rsid w:val="004D274C"/>
    <w:rsid w:val="004D524E"/>
    <w:rsid w:val="004E35C6"/>
    <w:rsid w:val="004E456C"/>
    <w:rsid w:val="004E5A3F"/>
    <w:rsid w:val="004E5C27"/>
    <w:rsid w:val="004E6083"/>
    <w:rsid w:val="004F4E13"/>
    <w:rsid w:val="004F54AC"/>
    <w:rsid w:val="004F5E28"/>
    <w:rsid w:val="00501C82"/>
    <w:rsid w:val="00503DE8"/>
    <w:rsid w:val="00504856"/>
    <w:rsid w:val="00507725"/>
    <w:rsid w:val="00511248"/>
    <w:rsid w:val="00511640"/>
    <w:rsid w:val="005161B0"/>
    <w:rsid w:val="005209F9"/>
    <w:rsid w:val="00520E64"/>
    <w:rsid w:val="00520E99"/>
    <w:rsid w:val="00523B48"/>
    <w:rsid w:val="00530AA9"/>
    <w:rsid w:val="00531E0E"/>
    <w:rsid w:val="00532FF3"/>
    <w:rsid w:val="00533279"/>
    <w:rsid w:val="005334AD"/>
    <w:rsid w:val="00540AB4"/>
    <w:rsid w:val="00543E68"/>
    <w:rsid w:val="00543EA1"/>
    <w:rsid w:val="005460A2"/>
    <w:rsid w:val="00546D56"/>
    <w:rsid w:val="00547EEA"/>
    <w:rsid w:val="005501CF"/>
    <w:rsid w:val="00550727"/>
    <w:rsid w:val="00551BBD"/>
    <w:rsid w:val="00551D66"/>
    <w:rsid w:val="00552405"/>
    <w:rsid w:val="00552EC5"/>
    <w:rsid w:val="0055492D"/>
    <w:rsid w:val="00555AF9"/>
    <w:rsid w:val="005560AD"/>
    <w:rsid w:val="0055763B"/>
    <w:rsid w:val="00560D3B"/>
    <w:rsid w:val="0056371A"/>
    <w:rsid w:val="00564AF7"/>
    <w:rsid w:val="005654EE"/>
    <w:rsid w:val="00567554"/>
    <w:rsid w:val="0057227F"/>
    <w:rsid w:val="00572AE0"/>
    <w:rsid w:val="005765F1"/>
    <w:rsid w:val="0057661D"/>
    <w:rsid w:val="00576FB3"/>
    <w:rsid w:val="005841C1"/>
    <w:rsid w:val="00585102"/>
    <w:rsid w:val="00585F37"/>
    <w:rsid w:val="00585F57"/>
    <w:rsid w:val="00585FC4"/>
    <w:rsid w:val="00596A03"/>
    <w:rsid w:val="0059703B"/>
    <w:rsid w:val="005976BF"/>
    <w:rsid w:val="005A00E0"/>
    <w:rsid w:val="005A5813"/>
    <w:rsid w:val="005A62AA"/>
    <w:rsid w:val="005A6546"/>
    <w:rsid w:val="005B1D76"/>
    <w:rsid w:val="005B3C04"/>
    <w:rsid w:val="005B3DAE"/>
    <w:rsid w:val="005B51A0"/>
    <w:rsid w:val="005B56E9"/>
    <w:rsid w:val="005B621B"/>
    <w:rsid w:val="005C0BE9"/>
    <w:rsid w:val="005C2160"/>
    <w:rsid w:val="005C2761"/>
    <w:rsid w:val="005C3203"/>
    <w:rsid w:val="005C3BF0"/>
    <w:rsid w:val="005C5E53"/>
    <w:rsid w:val="005D0F40"/>
    <w:rsid w:val="005D143E"/>
    <w:rsid w:val="005D157F"/>
    <w:rsid w:val="005D16E3"/>
    <w:rsid w:val="005D3E9B"/>
    <w:rsid w:val="005D4123"/>
    <w:rsid w:val="005D6CD5"/>
    <w:rsid w:val="005D759B"/>
    <w:rsid w:val="005D7D64"/>
    <w:rsid w:val="005E33DB"/>
    <w:rsid w:val="005E391C"/>
    <w:rsid w:val="005E4C25"/>
    <w:rsid w:val="005E5897"/>
    <w:rsid w:val="005E704D"/>
    <w:rsid w:val="005E72E5"/>
    <w:rsid w:val="005F16DE"/>
    <w:rsid w:val="005F3C1C"/>
    <w:rsid w:val="005F49E1"/>
    <w:rsid w:val="005F6E45"/>
    <w:rsid w:val="00600C74"/>
    <w:rsid w:val="006010D9"/>
    <w:rsid w:val="00601B1E"/>
    <w:rsid w:val="00602C1B"/>
    <w:rsid w:val="00603ACC"/>
    <w:rsid w:val="0060427D"/>
    <w:rsid w:val="00605FFC"/>
    <w:rsid w:val="006067C9"/>
    <w:rsid w:val="0060720A"/>
    <w:rsid w:val="00607E6A"/>
    <w:rsid w:val="00607EFD"/>
    <w:rsid w:val="00611D8E"/>
    <w:rsid w:val="00611DEA"/>
    <w:rsid w:val="00613544"/>
    <w:rsid w:val="00613B45"/>
    <w:rsid w:val="00614644"/>
    <w:rsid w:val="00616907"/>
    <w:rsid w:val="00616F5F"/>
    <w:rsid w:val="006209E8"/>
    <w:rsid w:val="0062124E"/>
    <w:rsid w:val="0062535F"/>
    <w:rsid w:val="00625977"/>
    <w:rsid w:val="00626310"/>
    <w:rsid w:val="006269A5"/>
    <w:rsid w:val="0063048D"/>
    <w:rsid w:val="00636F71"/>
    <w:rsid w:val="00636FCD"/>
    <w:rsid w:val="00640AF1"/>
    <w:rsid w:val="00641282"/>
    <w:rsid w:val="0064274B"/>
    <w:rsid w:val="00643516"/>
    <w:rsid w:val="0064368F"/>
    <w:rsid w:val="006456D5"/>
    <w:rsid w:val="006459AD"/>
    <w:rsid w:val="00647902"/>
    <w:rsid w:val="00650BEA"/>
    <w:rsid w:val="00654141"/>
    <w:rsid w:val="00655B01"/>
    <w:rsid w:val="0065606F"/>
    <w:rsid w:val="00657CB5"/>
    <w:rsid w:val="00660D60"/>
    <w:rsid w:val="00663445"/>
    <w:rsid w:val="00663D3D"/>
    <w:rsid w:val="0066406A"/>
    <w:rsid w:val="006713C7"/>
    <w:rsid w:val="00674272"/>
    <w:rsid w:val="0067499B"/>
    <w:rsid w:val="00675190"/>
    <w:rsid w:val="00675E7D"/>
    <w:rsid w:val="00681F59"/>
    <w:rsid w:val="00682FB0"/>
    <w:rsid w:val="00685842"/>
    <w:rsid w:val="00690B43"/>
    <w:rsid w:val="006911ED"/>
    <w:rsid w:val="00693463"/>
    <w:rsid w:val="00694A34"/>
    <w:rsid w:val="00695A32"/>
    <w:rsid w:val="00696679"/>
    <w:rsid w:val="006972D1"/>
    <w:rsid w:val="006A0B1A"/>
    <w:rsid w:val="006A64DC"/>
    <w:rsid w:val="006A6B25"/>
    <w:rsid w:val="006A73E3"/>
    <w:rsid w:val="006A7459"/>
    <w:rsid w:val="006B10AB"/>
    <w:rsid w:val="006B34EA"/>
    <w:rsid w:val="006B3876"/>
    <w:rsid w:val="006B3EA2"/>
    <w:rsid w:val="006B51BE"/>
    <w:rsid w:val="006B5A4E"/>
    <w:rsid w:val="006B5F14"/>
    <w:rsid w:val="006B7D3E"/>
    <w:rsid w:val="006BFBDE"/>
    <w:rsid w:val="006C0E8C"/>
    <w:rsid w:val="006C12FF"/>
    <w:rsid w:val="006C2F7E"/>
    <w:rsid w:val="006C346C"/>
    <w:rsid w:val="006C548F"/>
    <w:rsid w:val="006C5A76"/>
    <w:rsid w:val="006C6553"/>
    <w:rsid w:val="006C69FF"/>
    <w:rsid w:val="006C7334"/>
    <w:rsid w:val="006D1879"/>
    <w:rsid w:val="006D37DF"/>
    <w:rsid w:val="006D4648"/>
    <w:rsid w:val="006D5A2B"/>
    <w:rsid w:val="006D5DA8"/>
    <w:rsid w:val="006D7011"/>
    <w:rsid w:val="006E0136"/>
    <w:rsid w:val="006E0BE5"/>
    <w:rsid w:val="006E53DB"/>
    <w:rsid w:val="006E55D5"/>
    <w:rsid w:val="006E61FA"/>
    <w:rsid w:val="006E7941"/>
    <w:rsid w:val="006F0557"/>
    <w:rsid w:val="006F2773"/>
    <w:rsid w:val="006F3B5A"/>
    <w:rsid w:val="006F3FCE"/>
    <w:rsid w:val="006F7CCA"/>
    <w:rsid w:val="00700AFA"/>
    <w:rsid w:val="00700D42"/>
    <w:rsid w:val="00702202"/>
    <w:rsid w:val="0070353A"/>
    <w:rsid w:val="0070525B"/>
    <w:rsid w:val="007059A4"/>
    <w:rsid w:val="00706E13"/>
    <w:rsid w:val="0070704F"/>
    <w:rsid w:val="00707F06"/>
    <w:rsid w:val="00710F7C"/>
    <w:rsid w:val="007110F0"/>
    <w:rsid w:val="00711226"/>
    <w:rsid w:val="00712517"/>
    <w:rsid w:val="007144AE"/>
    <w:rsid w:val="0071499D"/>
    <w:rsid w:val="00714F86"/>
    <w:rsid w:val="00715B5D"/>
    <w:rsid w:val="00715E8A"/>
    <w:rsid w:val="00716F11"/>
    <w:rsid w:val="0071722B"/>
    <w:rsid w:val="00723A2E"/>
    <w:rsid w:val="0072415B"/>
    <w:rsid w:val="00726E63"/>
    <w:rsid w:val="00726EAC"/>
    <w:rsid w:val="00727BBA"/>
    <w:rsid w:val="007350FF"/>
    <w:rsid w:val="00735A94"/>
    <w:rsid w:val="00736797"/>
    <w:rsid w:val="00736D78"/>
    <w:rsid w:val="00736DC9"/>
    <w:rsid w:val="00737037"/>
    <w:rsid w:val="007408F4"/>
    <w:rsid w:val="00742235"/>
    <w:rsid w:val="00742742"/>
    <w:rsid w:val="00743984"/>
    <w:rsid w:val="00743E5F"/>
    <w:rsid w:val="007440FC"/>
    <w:rsid w:val="00745C93"/>
    <w:rsid w:val="007468ED"/>
    <w:rsid w:val="00755FDB"/>
    <w:rsid w:val="00760100"/>
    <w:rsid w:val="00760189"/>
    <w:rsid w:val="00762682"/>
    <w:rsid w:val="00763433"/>
    <w:rsid w:val="007651E6"/>
    <w:rsid w:val="00765790"/>
    <w:rsid w:val="0076603B"/>
    <w:rsid w:val="00766936"/>
    <w:rsid w:val="00771225"/>
    <w:rsid w:val="00773659"/>
    <w:rsid w:val="007737C3"/>
    <w:rsid w:val="00775917"/>
    <w:rsid w:val="00780338"/>
    <w:rsid w:val="007817BF"/>
    <w:rsid w:val="00784036"/>
    <w:rsid w:val="00784ADB"/>
    <w:rsid w:val="00785406"/>
    <w:rsid w:val="00785555"/>
    <w:rsid w:val="00785C9E"/>
    <w:rsid w:val="00786E3B"/>
    <w:rsid w:val="00790B22"/>
    <w:rsid w:val="00791287"/>
    <w:rsid w:val="00791ACA"/>
    <w:rsid w:val="007951B0"/>
    <w:rsid w:val="00795FE3"/>
    <w:rsid w:val="007A0D4F"/>
    <w:rsid w:val="007A1980"/>
    <w:rsid w:val="007A2B0F"/>
    <w:rsid w:val="007A36FE"/>
    <w:rsid w:val="007A3AB9"/>
    <w:rsid w:val="007A4689"/>
    <w:rsid w:val="007A5B7B"/>
    <w:rsid w:val="007A7827"/>
    <w:rsid w:val="007A7B0B"/>
    <w:rsid w:val="007B08EF"/>
    <w:rsid w:val="007B475C"/>
    <w:rsid w:val="007B508E"/>
    <w:rsid w:val="007C05E5"/>
    <w:rsid w:val="007C072D"/>
    <w:rsid w:val="007C15EF"/>
    <w:rsid w:val="007C18DB"/>
    <w:rsid w:val="007C1AEC"/>
    <w:rsid w:val="007C283B"/>
    <w:rsid w:val="007C3BB7"/>
    <w:rsid w:val="007C3BE1"/>
    <w:rsid w:val="007C42D5"/>
    <w:rsid w:val="007C5E12"/>
    <w:rsid w:val="007C715A"/>
    <w:rsid w:val="007C7C65"/>
    <w:rsid w:val="007C7CDA"/>
    <w:rsid w:val="007D00E5"/>
    <w:rsid w:val="007D0E83"/>
    <w:rsid w:val="007D2BE7"/>
    <w:rsid w:val="007D2E37"/>
    <w:rsid w:val="007D5242"/>
    <w:rsid w:val="007D5D67"/>
    <w:rsid w:val="007D627F"/>
    <w:rsid w:val="007D6686"/>
    <w:rsid w:val="007D77D7"/>
    <w:rsid w:val="007E2F5F"/>
    <w:rsid w:val="007E69D9"/>
    <w:rsid w:val="007E6DB2"/>
    <w:rsid w:val="007E70BC"/>
    <w:rsid w:val="007F05A1"/>
    <w:rsid w:val="007F2F4F"/>
    <w:rsid w:val="007F5106"/>
    <w:rsid w:val="007F7BFA"/>
    <w:rsid w:val="00801B52"/>
    <w:rsid w:val="0080233A"/>
    <w:rsid w:val="0080349D"/>
    <w:rsid w:val="00803EB4"/>
    <w:rsid w:val="00804627"/>
    <w:rsid w:val="008046C5"/>
    <w:rsid w:val="00804A03"/>
    <w:rsid w:val="008051E5"/>
    <w:rsid w:val="008058D0"/>
    <w:rsid w:val="00805C12"/>
    <w:rsid w:val="00805FEB"/>
    <w:rsid w:val="00806387"/>
    <w:rsid w:val="00810B25"/>
    <w:rsid w:val="00811353"/>
    <w:rsid w:val="00812249"/>
    <w:rsid w:val="00813AD1"/>
    <w:rsid w:val="0081779F"/>
    <w:rsid w:val="00820A9E"/>
    <w:rsid w:val="00820E0E"/>
    <w:rsid w:val="008274DB"/>
    <w:rsid w:val="00836025"/>
    <w:rsid w:val="0083677B"/>
    <w:rsid w:val="00840637"/>
    <w:rsid w:val="008409C8"/>
    <w:rsid w:val="00840C4B"/>
    <w:rsid w:val="008415AC"/>
    <w:rsid w:val="00843DF5"/>
    <w:rsid w:val="008453AF"/>
    <w:rsid w:val="00847271"/>
    <w:rsid w:val="00847342"/>
    <w:rsid w:val="00847C70"/>
    <w:rsid w:val="00850105"/>
    <w:rsid w:val="00851B43"/>
    <w:rsid w:val="008537B9"/>
    <w:rsid w:val="008631E0"/>
    <w:rsid w:val="0086600A"/>
    <w:rsid w:val="00866B66"/>
    <w:rsid w:val="0087072C"/>
    <w:rsid w:val="0087213B"/>
    <w:rsid w:val="00872C5E"/>
    <w:rsid w:val="00873DCB"/>
    <w:rsid w:val="008745F0"/>
    <w:rsid w:val="00876043"/>
    <w:rsid w:val="00877925"/>
    <w:rsid w:val="00877FAC"/>
    <w:rsid w:val="00881A25"/>
    <w:rsid w:val="00882F40"/>
    <w:rsid w:val="008836C6"/>
    <w:rsid w:val="00885704"/>
    <w:rsid w:val="008908D0"/>
    <w:rsid w:val="00892A1A"/>
    <w:rsid w:val="00892E7B"/>
    <w:rsid w:val="0089372A"/>
    <w:rsid w:val="00894982"/>
    <w:rsid w:val="0089733C"/>
    <w:rsid w:val="00897BCB"/>
    <w:rsid w:val="008A0A0A"/>
    <w:rsid w:val="008A2774"/>
    <w:rsid w:val="008A2B31"/>
    <w:rsid w:val="008A3515"/>
    <w:rsid w:val="008A51B8"/>
    <w:rsid w:val="008A7FF7"/>
    <w:rsid w:val="008B1702"/>
    <w:rsid w:val="008B1B60"/>
    <w:rsid w:val="008B283B"/>
    <w:rsid w:val="008B39C2"/>
    <w:rsid w:val="008B6BC5"/>
    <w:rsid w:val="008C1D42"/>
    <w:rsid w:val="008C4FA3"/>
    <w:rsid w:val="008D1AC4"/>
    <w:rsid w:val="008D3911"/>
    <w:rsid w:val="008D66D0"/>
    <w:rsid w:val="008D6C8D"/>
    <w:rsid w:val="008D7B53"/>
    <w:rsid w:val="008D7C4D"/>
    <w:rsid w:val="008D7D05"/>
    <w:rsid w:val="008E41EE"/>
    <w:rsid w:val="008E7AE4"/>
    <w:rsid w:val="008F3409"/>
    <w:rsid w:val="008F3B71"/>
    <w:rsid w:val="008F493F"/>
    <w:rsid w:val="008F57C2"/>
    <w:rsid w:val="008F5C72"/>
    <w:rsid w:val="00902BA7"/>
    <w:rsid w:val="009033D3"/>
    <w:rsid w:val="009056A7"/>
    <w:rsid w:val="0090752A"/>
    <w:rsid w:val="00910BBE"/>
    <w:rsid w:val="00914554"/>
    <w:rsid w:val="00914BF3"/>
    <w:rsid w:val="0091527C"/>
    <w:rsid w:val="00916AFD"/>
    <w:rsid w:val="00916BFA"/>
    <w:rsid w:val="009205C8"/>
    <w:rsid w:val="0092292A"/>
    <w:rsid w:val="00924848"/>
    <w:rsid w:val="009278E1"/>
    <w:rsid w:val="009307FD"/>
    <w:rsid w:val="0093174E"/>
    <w:rsid w:val="00932D80"/>
    <w:rsid w:val="009364BE"/>
    <w:rsid w:val="00941478"/>
    <w:rsid w:val="009436C3"/>
    <w:rsid w:val="00946414"/>
    <w:rsid w:val="00947E73"/>
    <w:rsid w:val="009506C5"/>
    <w:rsid w:val="00950B56"/>
    <w:rsid w:val="009517E3"/>
    <w:rsid w:val="0095250B"/>
    <w:rsid w:val="00953400"/>
    <w:rsid w:val="009556F6"/>
    <w:rsid w:val="00955DE3"/>
    <w:rsid w:val="00956750"/>
    <w:rsid w:val="009576CA"/>
    <w:rsid w:val="00960648"/>
    <w:rsid w:val="00961DB0"/>
    <w:rsid w:val="00971293"/>
    <w:rsid w:val="009723A7"/>
    <w:rsid w:val="00973337"/>
    <w:rsid w:val="00975826"/>
    <w:rsid w:val="00975BBE"/>
    <w:rsid w:val="009801CB"/>
    <w:rsid w:val="00980C61"/>
    <w:rsid w:val="00983ACA"/>
    <w:rsid w:val="00985EDF"/>
    <w:rsid w:val="0098728D"/>
    <w:rsid w:val="009902F3"/>
    <w:rsid w:val="009910D0"/>
    <w:rsid w:val="0099126D"/>
    <w:rsid w:val="009926CA"/>
    <w:rsid w:val="00995F73"/>
    <w:rsid w:val="00996502"/>
    <w:rsid w:val="009A0471"/>
    <w:rsid w:val="009A0C6D"/>
    <w:rsid w:val="009B244E"/>
    <w:rsid w:val="009B24C8"/>
    <w:rsid w:val="009B2923"/>
    <w:rsid w:val="009B2D0F"/>
    <w:rsid w:val="009B2F9C"/>
    <w:rsid w:val="009B37CE"/>
    <w:rsid w:val="009B6BE9"/>
    <w:rsid w:val="009C0402"/>
    <w:rsid w:val="009C73C4"/>
    <w:rsid w:val="009D1C23"/>
    <w:rsid w:val="009D253E"/>
    <w:rsid w:val="009D3405"/>
    <w:rsid w:val="009D5566"/>
    <w:rsid w:val="009D6ABA"/>
    <w:rsid w:val="009E0EB0"/>
    <w:rsid w:val="009E31E4"/>
    <w:rsid w:val="009E3697"/>
    <w:rsid w:val="009E7AE4"/>
    <w:rsid w:val="009E7F8F"/>
    <w:rsid w:val="009F0120"/>
    <w:rsid w:val="009F4581"/>
    <w:rsid w:val="009F4A9E"/>
    <w:rsid w:val="009F646D"/>
    <w:rsid w:val="00A0035A"/>
    <w:rsid w:val="00A02CDC"/>
    <w:rsid w:val="00A03C4A"/>
    <w:rsid w:val="00A050A4"/>
    <w:rsid w:val="00A11B37"/>
    <w:rsid w:val="00A133C9"/>
    <w:rsid w:val="00A15515"/>
    <w:rsid w:val="00A16BB5"/>
    <w:rsid w:val="00A173FF"/>
    <w:rsid w:val="00A17D4B"/>
    <w:rsid w:val="00A216BC"/>
    <w:rsid w:val="00A220DD"/>
    <w:rsid w:val="00A239B8"/>
    <w:rsid w:val="00A23B4F"/>
    <w:rsid w:val="00A24AE6"/>
    <w:rsid w:val="00A25C5D"/>
    <w:rsid w:val="00A25CA8"/>
    <w:rsid w:val="00A2689C"/>
    <w:rsid w:val="00A31FC2"/>
    <w:rsid w:val="00A324DA"/>
    <w:rsid w:val="00A35CCF"/>
    <w:rsid w:val="00A35F7F"/>
    <w:rsid w:val="00A40EEA"/>
    <w:rsid w:val="00A417AF"/>
    <w:rsid w:val="00A437F5"/>
    <w:rsid w:val="00A43902"/>
    <w:rsid w:val="00A44973"/>
    <w:rsid w:val="00A44FF5"/>
    <w:rsid w:val="00A504A7"/>
    <w:rsid w:val="00A52369"/>
    <w:rsid w:val="00A54916"/>
    <w:rsid w:val="00A56C31"/>
    <w:rsid w:val="00A56D78"/>
    <w:rsid w:val="00A605AB"/>
    <w:rsid w:val="00A614CE"/>
    <w:rsid w:val="00A63372"/>
    <w:rsid w:val="00A63BB6"/>
    <w:rsid w:val="00A650D2"/>
    <w:rsid w:val="00A661DE"/>
    <w:rsid w:val="00A66F2F"/>
    <w:rsid w:val="00A6725B"/>
    <w:rsid w:val="00A70555"/>
    <w:rsid w:val="00A71D4A"/>
    <w:rsid w:val="00A72639"/>
    <w:rsid w:val="00A7390F"/>
    <w:rsid w:val="00A74EE6"/>
    <w:rsid w:val="00A75739"/>
    <w:rsid w:val="00A76402"/>
    <w:rsid w:val="00A764DA"/>
    <w:rsid w:val="00A76C0D"/>
    <w:rsid w:val="00A76CD4"/>
    <w:rsid w:val="00A802C9"/>
    <w:rsid w:val="00A81A63"/>
    <w:rsid w:val="00A835A7"/>
    <w:rsid w:val="00A844F0"/>
    <w:rsid w:val="00A8657D"/>
    <w:rsid w:val="00A86A77"/>
    <w:rsid w:val="00A86E19"/>
    <w:rsid w:val="00A87ACF"/>
    <w:rsid w:val="00A91289"/>
    <w:rsid w:val="00A91ECD"/>
    <w:rsid w:val="00A924FB"/>
    <w:rsid w:val="00A95034"/>
    <w:rsid w:val="00A950E8"/>
    <w:rsid w:val="00A957E7"/>
    <w:rsid w:val="00A969CA"/>
    <w:rsid w:val="00A96E24"/>
    <w:rsid w:val="00A97B8F"/>
    <w:rsid w:val="00A97D6F"/>
    <w:rsid w:val="00AA0DC0"/>
    <w:rsid w:val="00AA3106"/>
    <w:rsid w:val="00AA459F"/>
    <w:rsid w:val="00AA4691"/>
    <w:rsid w:val="00AA524B"/>
    <w:rsid w:val="00AA61CF"/>
    <w:rsid w:val="00AA70E0"/>
    <w:rsid w:val="00AB0140"/>
    <w:rsid w:val="00AB2597"/>
    <w:rsid w:val="00AB3A4E"/>
    <w:rsid w:val="00AB5E72"/>
    <w:rsid w:val="00AB6543"/>
    <w:rsid w:val="00AB75D2"/>
    <w:rsid w:val="00AB7A98"/>
    <w:rsid w:val="00AB7F40"/>
    <w:rsid w:val="00AC30FE"/>
    <w:rsid w:val="00AC4EB3"/>
    <w:rsid w:val="00AC57D4"/>
    <w:rsid w:val="00AD2611"/>
    <w:rsid w:val="00AD2F3E"/>
    <w:rsid w:val="00AD3760"/>
    <w:rsid w:val="00AD5916"/>
    <w:rsid w:val="00AD6E3C"/>
    <w:rsid w:val="00AD6EAE"/>
    <w:rsid w:val="00AE1A5F"/>
    <w:rsid w:val="00AE3736"/>
    <w:rsid w:val="00AE3E6A"/>
    <w:rsid w:val="00AE43FD"/>
    <w:rsid w:val="00AE5318"/>
    <w:rsid w:val="00AF2C20"/>
    <w:rsid w:val="00AF33C7"/>
    <w:rsid w:val="00AF3DE5"/>
    <w:rsid w:val="00AF4C70"/>
    <w:rsid w:val="00AF7557"/>
    <w:rsid w:val="00B01DEE"/>
    <w:rsid w:val="00B020BE"/>
    <w:rsid w:val="00B02B06"/>
    <w:rsid w:val="00B02F74"/>
    <w:rsid w:val="00B04CF7"/>
    <w:rsid w:val="00B07CF8"/>
    <w:rsid w:val="00B11225"/>
    <w:rsid w:val="00B1359F"/>
    <w:rsid w:val="00B13A57"/>
    <w:rsid w:val="00B13B6B"/>
    <w:rsid w:val="00B149AC"/>
    <w:rsid w:val="00B14D52"/>
    <w:rsid w:val="00B171AF"/>
    <w:rsid w:val="00B21F68"/>
    <w:rsid w:val="00B22E93"/>
    <w:rsid w:val="00B2337C"/>
    <w:rsid w:val="00B23638"/>
    <w:rsid w:val="00B23CFB"/>
    <w:rsid w:val="00B307ED"/>
    <w:rsid w:val="00B31501"/>
    <w:rsid w:val="00B32172"/>
    <w:rsid w:val="00B3489B"/>
    <w:rsid w:val="00B35691"/>
    <w:rsid w:val="00B35710"/>
    <w:rsid w:val="00B35974"/>
    <w:rsid w:val="00B368F9"/>
    <w:rsid w:val="00B40E50"/>
    <w:rsid w:val="00B4261E"/>
    <w:rsid w:val="00B44B49"/>
    <w:rsid w:val="00B45EF8"/>
    <w:rsid w:val="00B4669C"/>
    <w:rsid w:val="00B46D1D"/>
    <w:rsid w:val="00B5075F"/>
    <w:rsid w:val="00B508DE"/>
    <w:rsid w:val="00B514BA"/>
    <w:rsid w:val="00B533D0"/>
    <w:rsid w:val="00B539B5"/>
    <w:rsid w:val="00B53C56"/>
    <w:rsid w:val="00B54B4D"/>
    <w:rsid w:val="00B55C3F"/>
    <w:rsid w:val="00B56464"/>
    <w:rsid w:val="00B571BE"/>
    <w:rsid w:val="00B57410"/>
    <w:rsid w:val="00B638D9"/>
    <w:rsid w:val="00B63E80"/>
    <w:rsid w:val="00B65946"/>
    <w:rsid w:val="00B7047D"/>
    <w:rsid w:val="00B71181"/>
    <w:rsid w:val="00B747A5"/>
    <w:rsid w:val="00B7515D"/>
    <w:rsid w:val="00B76B3D"/>
    <w:rsid w:val="00B776BB"/>
    <w:rsid w:val="00B77A8A"/>
    <w:rsid w:val="00B80232"/>
    <w:rsid w:val="00B82FB2"/>
    <w:rsid w:val="00B83DE8"/>
    <w:rsid w:val="00B84107"/>
    <w:rsid w:val="00B84535"/>
    <w:rsid w:val="00B84877"/>
    <w:rsid w:val="00B856B8"/>
    <w:rsid w:val="00B8570B"/>
    <w:rsid w:val="00B85F4D"/>
    <w:rsid w:val="00B86033"/>
    <w:rsid w:val="00B86E78"/>
    <w:rsid w:val="00B86FF4"/>
    <w:rsid w:val="00B87D61"/>
    <w:rsid w:val="00B90986"/>
    <w:rsid w:val="00B911E1"/>
    <w:rsid w:val="00B9371E"/>
    <w:rsid w:val="00B96348"/>
    <w:rsid w:val="00B96BD5"/>
    <w:rsid w:val="00BA000E"/>
    <w:rsid w:val="00BA0822"/>
    <w:rsid w:val="00BA15D3"/>
    <w:rsid w:val="00BA2DD9"/>
    <w:rsid w:val="00BA341D"/>
    <w:rsid w:val="00BA52D1"/>
    <w:rsid w:val="00BA6921"/>
    <w:rsid w:val="00BB08B7"/>
    <w:rsid w:val="00BB11C2"/>
    <w:rsid w:val="00BB1716"/>
    <w:rsid w:val="00BB2DF6"/>
    <w:rsid w:val="00BB3ADB"/>
    <w:rsid w:val="00BB6C17"/>
    <w:rsid w:val="00BB7463"/>
    <w:rsid w:val="00BC110F"/>
    <w:rsid w:val="00BC54FF"/>
    <w:rsid w:val="00BC6B9A"/>
    <w:rsid w:val="00BD183A"/>
    <w:rsid w:val="00BD6E6B"/>
    <w:rsid w:val="00BD6EFD"/>
    <w:rsid w:val="00BE0BA2"/>
    <w:rsid w:val="00BE2076"/>
    <w:rsid w:val="00BE211A"/>
    <w:rsid w:val="00BE2B21"/>
    <w:rsid w:val="00BE47AD"/>
    <w:rsid w:val="00BF0171"/>
    <w:rsid w:val="00BF3CF8"/>
    <w:rsid w:val="00BF55BA"/>
    <w:rsid w:val="00BF7DE4"/>
    <w:rsid w:val="00C00819"/>
    <w:rsid w:val="00C009F3"/>
    <w:rsid w:val="00C00EB9"/>
    <w:rsid w:val="00C011E6"/>
    <w:rsid w:val="00C01237"/>
    <w:rsid w:val="00C02D6F"/>
    <w:rsid w:val="00C02DE2"/>
    <w:rsid w:val="00C02F6D"/>
    <w:rsid w:val="00C06699"/>
    <w:rsid w:val="00C0688F"/>
    <w:rsid w:val="00C105F6"/>
    <w:rsid w:val="00C108E9"/>
    <w:rsid w:val="00C10D52"/>
    <w:rsid w:val="00C11256"/>
    <w:rsid w:val="00C119B3"/>
    <w:rsid w:val="00C132B1"/>
    <w:rsid w:val="00C13A47"/>
    <w:rsid w:val="00C13F97"/>
    <w:rsid w:val="00C140BE"/>
    <w:rsid w:val="00C1463C"/>
    <w:rsid w:val="00C15B3B"/>
    <w:rsid w:val="00C16F6D"/>
    <w:rsid w:val="00C22216"/>
    <w:rsid w:val="00C224C0"/>
    <w:rsid w:val="00C22935"/>
    <w:rsid w:val="00C22F03"/>
    <w:rsid w:val="00C246F8"/>
    <w:rsid w:val="00C24D2A"/>
    <w:rsid w:val="00C256EA"/>
    <w:rsid w:val="00C26598"/>
    <w:rsid w:val="00C27D1E"/>
    <w:rsid w:val="00C27F2E"/>
    <w:rsid w:val="00C30C3D"/>
    <w:rsid w:val="00C323CC"/>
    <w:rsid w:val="00C3252B"/>
    <w:rsid w:val="00C334C6"/>
    <w:rsid w:val="00C339A2"/>
    <w:rsid w:val="00C35821"/>
    <w:rsid w:val="00C3643C"/>
    <w:rsid w:val="00C37219"/>
    <w:rsid w:val="00C37C79"/>
    <w:rsid w:val="00C40A79"/>
    <w:rsid w:val="00C41A0E"/>
    <w:rsid w:val="00C41D2A"/>
    <w:rsid w:val="00C41DD7"/>
    <w:rsid w:val="00C42AF3"/>
    <w:rsid w:val="00C42B6C"/>
    <w:rsid w:val="00C43C40"/>
    <w:rsid w:val="00C47682"/>
    <w:rsid w:val="00C500FA"/>
    <w:rsid w:val="00C5041B"/>
    <w:rsid w:val="00C51A60"/>
    <w:rsid w:val="00C52414"/>
    <w:rsid w:val="00C5530D"/>
    <w:rsid w:val="00C5663C"/>
    <w:rsid w:val="00C61B04"/>
    <w:rsid w:val="00C61C6F"/>
    <w:rsid w:val="00C70F00"/>
    <w:rsid w:val="00C71233"/>
    <w:rsid w:val="00C71C91"/>
    <w:rsid w:val="00C73D5D"/>
    <w:rsid w:val="00C803CB"/>
    <w:rsid w:val="00C80484"/>
    <w:rsid w:val="00C81A2D"/>
    <w:rsid w:val="00C82619"/>
    <w:rsid w:val="00C83055"/>
    <w:rsid w:val="00C83EC7"/>
    <w:rsid w:val="00C86BC8"/>
    <w:rsid w:val="00C87B37"/>
    <w:rsid w:val="00C87D42"/>
    <w:rsid w:val="00C91984"/>
    <w:rsid w:val="00C95456"/>
    <w:rsid w:val="00C95EB5"/>
    <w:rsid w:val="00C972BF"/>
    <w:rsid w:val="00C97346"/>
    <w:rsid w:val="00CA02C2"/>
    <w:rsid w:val="00CA3137"/>
    <w:rsid w:val="00CA324C"/>
    <w:rsid w:val="00CA49BB"/>
    <w:rsid w:val="00CA5571"/>
    <w:rsid w:val="00CA6A0D"/>
    <w:rsid w:val="00CA6EB6"/>
    <w:rsid w:val="00CA782E"/>
    <w:rsid w:val="00CA7F67"/>
    <w:rsid w:val="00CB10AD"/>
    <w:rsid w:val="00CB2339"/>
    <w:rsid w:val="00CB3F4A"/>
    <w:rsid w:val="00CB428C"/>
    <w:rsid w:val="00CB75D2"/>
    <w:rsid w:val="00CC00CC"/>
    <w:rsid w:val="00CC034A"/>
    <w:rsid w:val="00CC0D0F"/>
    <w:rsid w:val="00CC28A6"/>
    <w:rsid w:val="00CC5266"/>
    <w:rsid w:val="00CC5F4F"/>
    <w:rsid w:val="00CC655B"/>
    <w:rsid w:val="00CC7009"/>
    <w:rsid w:val="00CD082D"/>
    <w:rsid w:val="00CD1927"/>
    <w:rsid w:val="00CD2030"/>
    <w:rsid w:val="00CD2E3C"/>
    <w:rsid w:val="00CD3ED8"/>
    <w:rsid w:val="00CD6FC0"/>
    <w:rsid w:val="00CD78FC"/>
    <w:rsid w:val="00CE004D"/>
    <w:rsid w:val="00CE1822"/>
    <w:rsid w:val="00CE3AC9"/>
    <w:rsid w:val="00CE7933"/>
    <w:rsid w:val="00CF13CC"/>
    <w:rsid w:val="00CF277B"/>
    <w:rsid w:val="00CF2E5A"/>
    <w:rsid w:val="00CF3C99"/>
    <w:rsid w:val="00D00D74"/>
    <w:rsid w:val="00D01552"/>
    <w:rsid w:val="00D0181A"/>
    <w:rsid w:val="00D0251C"/>
    <w:rsid w:val="00D042F1"/>
    <w:rsid w:val="00D06CD6"/>
    <w:rsid w:val="00D07B6F"/>
    <w:rsid w:val="00D11789"/>
    <w:rsid w:val="00D1412D"/>
    <w:rsid w:val="00D17BFF"/>
    <w:rsid w:val="00D206BC"/>
    <w:rsid w:val="00D20730"/>
    <w:rsid w:val="00D21A77"/>
    <w:rsid w:val="00D2207A"/>
    <w:rsid w:val="00D25424"/>
    <w:rsid w:val="00D25C6F"/>
    <w:rsid w:val="00D27A3A"/>
    <w:rsid w:val="00D32569"/>
    <w:rsid w:val="00D32905"/>
    <w:rsid w:val="00D340F9"/>
    <w:rsid w:val="00D34854"/>
    <w:rsid w:val="00D358C1"/>
    <w:rsid w:val="00D35C62"/>
    <w:rsid w:val="00D37D0F"/>
    <w:rsid w:val="00D412AE"/>
    <w:rsid w:val="00D413CD"/>
    <w:rsid w:val="00D41668"/>
    <w:rsid w:val="00D4207B"/>
    <w:rsid w:val="00D42172"/>
    <w:rsid w:val="00D438C9"/>
    <w:rsid w:val="00D44530"/>
    <w:rsid w:val="00D45FAC"/>
    <w:rsid w:val="00D4724E"/>
    <w:rsid w:val="00D476ED"/>
    <w:rsid w:val="00D50F49"/>
    <w:rsid w:val="00D5278D"/>
    <w:rsid w:val="00D53629"/>
    <w:rsid w:val="00D53CB0"/>
    <w:rsid w:val="00D54805"/>
    <w:rsid w:val="00D55125"/>
    <w:rsid w:val="00D55C82"/>
    <w:rsid w:val="00D55F16"/>
    <w:rsid w:val="00D56095"/>
    <w:rsid w:val="00D563E7"/>
    <w:rsid w:val="00D56494"/>
    <w:rsid w:val="00D56969"/>
    <w:rsid w:val="00D574D0"/>
    <w:rsid w:val="00D6144B"/>
    <w:rsid w:val="00D6286D"/>
    <w:rsid w:val="00D63583"/>
    <w:rsid w:val="00D643FB"/>
    <w:rsid w:val="00D64592"/>
    <w:rsid w:val="00D65649"/>
    <w:rsid w:val="00D713AD"/>
    <w:rsid w:val="00D720B7"/>
    <w:rsid w:val="00D72F91"/>
    <w:rsid w:val="00D73F1E"/>
    <w:rsid w:val="00D76846"/>
    <w:rsid w:val="00D83709"/>
    <w:rsid w:val="00D84948"/>
    <w:rsid w:val="00D84BD1"/>
    <w:rsid w:val="00D8517B"/>
    <w:rsid w:val="00D87E95"/>
    <w:rsid w:val="00D90977"/>
    <w:rsid w:val="00D91687"/>
    <w:rsid w:val="00D91A69"/>
    <w:rsid w:val="00D92A97"/>
    <w:rsid w:val="00D92DD8"/>
    <w:rsid w:val="00D93358"/>
    <w:rsid w:val="00D93380"/>
    <w:rsid w:val="00D977BE"/>
    <w:rsid w:val="00DA16CE"/>
    <w:rsid w:val="00DA1846"/>
    <w:rsid w:val="00DA3DAD"/>
    <w:rsid w:val="00DA3E2D"/>
    <w:rsid w:val="00DA4786"/>
    <w:rsid w:val="00DB7EFE"/>
    <w:rsid w:val="00DC43C9"/>
    <w:rsid w:val="00DC44FC"/>
    <w:rsid w:val="00DC588E"/>
    <w:rsid w:val="00DC5F6F"/>
    <w:rsid w:val="00DD0267"/>
    <w:rsid w:val="00DD4F2A"/>
    <w:rsid w:val="00DD6844"/>
    <w:rsid w:val="00DD7840"/>
    <w:rsid w:val="00DD7F4D"/>
    <w:rsid w:val="00DE26B9"/>
    <w:rsid w:val="00DF06D7"/>
    <w:rsid w:val="00DF0A48"/>
    <w:rsid w:val="00DF117A"/>
    <w:rsid w:val="00DF146E"/>
    <w:rsid w:val="00DF29D9"/>
    <w:rsid w:val="00DF2EC0"/>
    <w:rsid w:val="00DF4BA2"/>
    <w:rsid w:val="00DF69F3"/>
    <w:rsid w:val="00E00A38"/>
    <w:rsid w:val="00E0128B"/>
    <w:rsid w:val="00E0128D"/>
    <w:rsid w:val="00E0319B"/>
    <w:rsid w:val="00E051C2"/>
    <w:rsid w:val="00E0540A"/>
    <w:rsid w:val="00E0568F"/>
    <w:rsid w:val="00E05BFC"/>
    <w:rsid w:val="00E10112"/>
    <w:rsid w:val="00E10B19"/>
    <w:rsid w:val="00E11F95"/>
    <w:rsid w:val="00E14955"/>
    <w:rsid w:val="00E1585B"/>
    <w:rsid w:val="00E17ACC"/>
    <w:rsid w:val="00E22D2F"/>
    <w:rsid w:val="00E239CA"/>
    <w:rsid w:val="00E25787"/>
    <w:rsid w:val="00E25D27"/>
    <w:rsid w:val="00E26207"/>
    <w:rsid w:val="00E27601"/>
    <w:rsid w:val="00E30EA2"/>
    <w:rsid w:val="00E31128"/>
    <w:rsid w:val="00E312B9"/>
    <w:rsid w:val="00E31836"/>
    <w:rsid w:val="00E324B0"/>
    <w:rsid w:val="00E3445B"/>
    <w:rsid w:val="00E36D78"/>
    <w:rsid w:val="00E36F2C"/>
    <w:rsid w:val="00E41960"/>
    <w:rsid w:val="00E43E5A"/>
    <w:rsid w:val="00E441C5"/>
    <w:rsid w:val="00E44539"/>
    <w:rsid w:val="00E44A4F"/>
    <w:rsid w:val="00E44EB8"/>
    <w:rsid w:val="00E45F62"/>
    <w:rsid w:val="00E50CA3"/>
    <w:rsid w:val="00E54C99"/>
    <w:rsid w:val="00E575B5"/>
    <w:rsid w:val="00E61E8D"/>
    <w:rsid w:val="00E62373"/>
    <w:rsid w:val="00E67444"/>
    <w:rsid w:val="00E67A14"/>
    <w:rsid w:val="00E73B94"/>
    <w:rsid w:val="00E75034"/>
    <w:rsid w:val="00E76FEE"/>
    <w:rsid w:val="00E7781B"/>
    <w:rsid w:val="00E81E84"/>
    <w:rsid w:val="00E82F4B"/>
    <w:rsid w:val="00E9065D"/>
    <w:rsid w:val="00E92C9C"/>
    <w:rsid w:val="00E92CBA"/>
    <w:rsid w:val="00E942AE"/>
    <w:rsid w:val="00E96CE7"/>
    <w:rsid w:val="00EA0004"/>
    <w:rsid w:val="00EA08A2"/>
    <w:rsid w:val="00EA1933"/>
    <w:rsid w:val="00EA2CB7"/>
    <w:rsid w:val="00EA2ED4"/>
    <w:rsid w:val="00EA3360"/>
    <w:rsid w:val="00EA4692"/>
    <w:rsid w:val="00EA4FAC"/>
    <w:rsid w:val="00EA5058"/>
    <w:rsid w:val="00EA7765"/>
    <w:rsid w:val="00EB314A"/>
    <w:rsid w:val="00EB365E"/>
    <w:rsid w:val="00EB45AC"/>
    <w:rsid w:val="00EB472C"/>
    <w:rsid w:val="00EB79FC"/>
    <w:rsid w:val="00EC1830"/>
    <w:rsid w:val="00EC1A3B"/>
    <w:rsid w:val="00EC3F75"/>
    <w:rsid w:val="00EC66F9"/>
    <w:rsid w:val="00EC6F55"/>
    <w:rsid w:val="00ED5DF6"/>
    <w:rsid w:val="00ED5F12"/>
    <w:rsid w:val="00ED6D65"/>
    <w:rsid w:val="00ED7F77"/>
    <w:rsid w:val="00EE1170"/>
    <w:rsid w:val="00EE26E2"/>
    <w:rsid w:val="00EE31F3"/>
    <w:rsid w:val="00EE4BEF"/>
    <w:rsid w:val="00EE67DE"/>
    <w:rsid w:val="00EE74E7"/>
    <w:rsid w:val="00EE7FA6"/>
    <w:rsid w:val="00EF1AAC"/>
    <w:rsid w:val="00EF1BE2"/>
    <w:rsid w:val="00EF2055"/>
    <w:rsid w:val="00EF3CB4"/>
    <w:rsid w:val="00EF4DAA"/>
    <w:rsid w:val="00EF688F"/>
    <w:rsid w:val="00EF79E4"/>
    <w:rsid w:val="00F00DB1"/>
    <w:rsid w:val="00F012C6"/>
    <w:rsid w:val="00F020B3"/>
    <w:rsid w:val="00F0764E"/>
    <w:rsid w:val="00F07705"/>
    <w:rsid w:val="00F10C17"/>
    <w:rsid w:val="00F10C8E"/>
    <w:rsid w:val="00F110E2"/>
    <w:rsid w:val="00F1664E"/>
    <w:rsid w:val="00F167C0"/>
    <w:rsid w:val="00F16E9F"/>
    <w:rsid w:val="00F173BA"/>
    <w:rsid w:val="00F17D6F"/>
    <w:rsid w:val="00F216A6"/>
    <w:rsid w:val="00F22AC6"/>
    <w:rsid w:val="00F231A2"/>
    <w:rsid w:val="00F2382C"/>
    <w:rsid w:val="00F2448F"/>
    <w:rsid w:val="00F246DE"/>
    <w:rsid w:val="00F24B67"/>
    <w:rsid w:val="00F24CC2"/>
    <w:rsid w:val="00F250BE"/>
    <w:rsid w:val="00F25BC4"/>
    <w:rsid w:val="00F25D9E"/>
    <w:rsid w:val="00F27E27"/>
    <w:rsid w:val="00F31C27"/>
    <w:rsid w:val="00F35420"/>
    <w:rsid w:val="00F36CC1"/>
    <w:rsid w:val="00F370F4"/>
    <w:rsid w:val="00F41E61"/>
    <w:rsid w:val="00F439A3"/>
    <w:rsid w:val="00F46D45"/>
    <w:rsid w:val="00F475CC"/>
    <w:rsid w:val="00F5366B"/>
    <w:rsid w:val="00F549E3"/>
    <w:rsid w:val="00F54B99"/>
    <w:rsid w:val="00F5536F"/>
    <w:rsid w:val="00F56D57"/>
    <w:rsid w:val="00F574CF"/>
    <w:rsid w:val="00F62BA8"/>
    <w:rsid w:val="00F62C1D"/>
    <w:rsid w:val="00F630F3"/>
    <w:rsid w:val="00F6589F"/>
    <w:rsid w:val="00F6597A"/>
    <w:rsid w:val="00F677C6"/>
    <w:rsid w:val="00F67A73"/>
    <w:rsid w:val="00F708DD"/>
    <w:rsid w:val="00F7543A"/>
    <w:rsid w:val="00F75CDD"/>
    <w:rsid w:val="00F76BFB"/>
    <w:rsid w:val="00F82483"/>
    <w:rsid w:val="00F82792"/>
    <w:rsid w:val="00F83B05"/>
    <w:rsid w:val="00F84017"/>
    <w:rsid w:val="00F85842"/>
    <w:rsid w:val="00F93E6E"/>
    <w:rsid w:val="00F941ED"/>
    <w:rsid w:val="00F9478B"/>
    <w:rsid w:val="00F97CEA"/>
    <w:rsid w:val="00FA0C80"/>
    <w:rsid w:val="00FA1F00"/>
    <w:rsid w:val="00FA23E2"/>
    <w:rsid w:val="00FA38C8"/>
    <w:rsid w:val="00FA730E"/>
    <w:rsid w:val="00FB0F44"/>
    <w:rsid w:val="00FC2EF1"/>
    <w:rsid w:val="00FC2F03"/>
    <w:rsid w:val="00FC4671"/>
    <w:rsid w:val="00FC4A6D"/>
    <w:rsid w:val="00FC585C"/>
    <w:rsid w:val="00FC6BCD"/>
    <w:rsid w:val="00FC7590"/>
    <w:rsid w:val="00FD01F6"/>
    <w:rsid w:val="00FD1428"/>
    <w:rsid w:val="00FD2B7F"/>
    <w:rsid w:val="00FD3333"/>
    <w:rsid w:val="00FD3755"/>
    <w:rsid w:val="00FE0B88"/>
    <w:rsid w:val="00FE11C3"/>
    <w:rsid w:val="00FE2097"/>
    <w:rsid w:val="00FE4F79"/>
    <w:rsid w:val="00FE7E57"/>
    <w:rsid w:val="00FF0018"/>
    <w:rsid w:val="00FF0A75"/>
    <w:rsid w:val="00FF0C85"/>
    <w:rsid w:val="00FF1E2B"/>
    <w:rsid w:val="00FF5C7A"/>
    <w:rsid w:val="00FF6334"/>
    <w:rsid w:val="01B52F12"/>
    <w:rsid w:val="023A9675"/>
    <w:rsid w:val="0246DF64"/>
    <w:rsid w:val="030DAFA3"/>
    <w:rsid w:val="034F6905"/>
    <w:rsid w:val="03FB0F9F"/>
    <w:rsid w:val="04D4895F"/>
    <w:rsid w:val="05F9500A"/>
    <w:rsid w:val="071A4751"/>
    <w:rsid w:val="08A5E2DA"/>
    <w:rsid w:val="08BCAF11"/>
    <w:rsid w:val="08F1D00B"/>
    <w:rsid w:val="094B18C1"/>
    <w:rsid w:val="0A3F7765"/>
    <w:rsid w:val="0A4590B7"/>
    <w:rsid w:val="0A845458"/>
    <w:rsid w:val="0A910379"/>
    <w:rsid w:val="0AB3724E"/>
    <w:rsid w:val="0B016B75"/>
    <w:rsid w:val="0B22ECFF"/>
    <w:rsid w:val="0BC531C6"/>
    <w:rsid w:val="0BD47635"/>
    <w:rsid w:val="0BF18033"/>
    <w:rsid w:val="0C04724E"/>
    <w:rsid w:val="0C31BAEC"/>
    <w:rsid w:val="0C73E830"/>
    <w:rsid w:val="0DC5D621"/>
    <w:rsid w:val="0DD47C9D"/>
    <w:rsid w:val="0E3C9F27"/>
    <w:rsid w:val="0E471E41"/>
    <w:rsid w:val="0E68F001"/>
    <w:rsid w:val="0E775E22"/>
    <w:rsid w:val="0EC6CEE0"/>
    <w:rsid w:val="0EF931B1"/>
    <w:rsid w:val="0EFA11A1"/>
    <w:rsid w:val="0F19470D"/>
    <w:rsid w:val="0FC1F76D"/>
    <w:rsid w:val="0FDDB477"/>
    <w:rsid w:val="101F1BF6"/>
    <w:rsid w:val="116515DD"/>
    <w:rsid w:val="13C36BDC"/>
    <w:rsid w:val="15369DF4"/>
    <w:rsid w:val="15433989"/>
    <w:rsid w:val="159E4681"/>
    <w:rsid w:val="16C68B25"/>
    <w:rsid w:val="17154A20"/>
    <w:rsid w:val="187381C5"/>
    <w:rsid w:val="189B534A"/>
    <w:rsid w:val="1B8732F3"/>
    <w:rsid w:val="1C19D675"/>
    <w:rsid w:val="1C85C254"/>
    <w:rsid w:val="1D44BCB9"/>
    <w:rsid w:val="1E8EC297"/>
    <w:rsid w:val="1EAD2516"/>
    <w:rsid w:val="1F417A8A"/>
    <w:rsid w:val="1FFE4260"/>
    <w:rsid w:val="200F8F09"/>
    <w:rsid w:val="2031D432"/>
    <w:rsid w:val="2113E9C9"/>
    <w:rsid w:val="21AE94E6"/>
    <w:rsid w:val="23D9F074"/>
    <w:rsid w:val="242516F2"/>
    <w:rsid w:val="243297F0"/>
    <w:rsid w:val="24568D87"/>
    <w:rsid w:val="25333C86"/>
    <w:rsid w:val="2539681E"/>
    <w:rsid w:val="25E93835"/>
    <w:rsid w:val="25EFE575"/>
    <w:rsid w:val="261A5CC7"/>
    <w:rsid w:val="26568428"/>
    <w:rsid w:val="265D939E"/>
    <w:rsid w:val="26EB7DEF"/>
    <w:rsid w:val="276F121B"/>
    <w:rsid w:val="27C0EF35"/>
    <w:rsid w:val="27E15932"/>
    <w:rsid w:val="27FDF57D"/>
    <w:rsid w:val="2828DE55"/>
    <w:rsid w:val="28BBD1CD"/>
    <w:rsid w:val="28CF6E32"/>
    <w:rsid w:val="2A72FD0B"/>
    <w:rsid w:val="2AC89EF1"/>
    <w:rsid w:val="2ACC2E49"/>
    <w:rsid w:val="2AE73CB2"/>
    <w:rsid w:val="2B91E945"/>
    <w:rsid w:val="2CB97C31"/>
    <w:rsid w:val="2D4D520C"/>
    <w:rsid w:val="2E2ABD5F"/>
    <w:rsid w:val="2EAE1E2B"/>
    <w:rsid w:val="2EEFC1D6"/>
    <w:rsid w:val="2F48D0BE"/>
    <w:rsid w:val="2F9DC010"/>
    <w:rsid w:val="2FA75037"/>
    <w:rsid w:val="2FBEC4C1"/>
    <w:rsid w:val="2FE81E4B"/>
    <w:rsid w:val="302FE1A7"/>
    <w:rsid w:val="307E45FB"/>
    <w:rsid w:val="30E13217"/>
    <w:rsid w:val="3118EBBD"/>
    <w:rsid w:val="3168CFAA"/>
    <w:rsid w:val="32A87B0D"/>
    <w:rsid w:val="332C9C1F"/>
    <w:rsid w:val="33AC0832"/>
    <w:rsid w:val="34473041"/>
    <w:rsid w:val="37A34DA8"/>
    <w:rsid w:val="37AC453A"/>
    <w:rsid w:val="381D92C2"/>
    <w:rsid w:val="383795F1"/>
    <w:rsid w:val="385B688C"/>
    <w:rsid w:val="38E7B673"/>
    <w:rsid w:val="39D55D01"/>
    <w:rsid w:val="3A448D54"/>
    <w:rsid w:val="3AAD3656"/>
    <w:rsid w:val="3AED1A8D"/>
    <w:rsid w:val="3BA6E582"/>
    <w:rsid w:val="3BB818A5"/>
    <w:rsid w:val="3D283CDA"/>
    <w:rsid w:val="3E1D9D34"/>
    <w:rsid w:val="3E2613A7"/>
    <w:rsid w:val="3EA8BE44"/>
    <w:rsid w:val="3EDA22D6"/>
    <w:rsid w:val="3EDC1E96"/>
    <w:rsid w:val="3FC76064"/>
    <w:rsid w:val="3FCAA526"/>
    <w:rsid w:val="4069FCAD"/>
    <w:rsid w:val="40A78A26"/>
    <w:rsid w:val="41127E78"/>
    <w:rsid w:val="41DF1284"/>
    <w:rsid w:val="43530953"/>
    <w:rsid w:val="445A6F36"/>
    <w:rsid w:val="4500E3E9"/>
    <w:rsid w:val="4571F516"/>
    <w:rsid w:val="45CE43A1"/>
    <w:rsid w:val="46A511A2"/>
    <w:rsid w:val="4793866A"/>
    <w:rsid w:val="47B686AF"/>
    <w:rsid w:val="48BD0359"/>
    <w:rsid w:val="49C0AE7D"/>
    <w:rsid w:val="4AFE4184"/>
    <w:rsid w:val="4B009ECF"/>
    <w:rsid w:val="4B538C56"/>
    <w:rsid w:val="4BD840B6"/>
    <w:rsid w:val="4C1466A0"/>
    <w:rsid w:val="4D26E472"/>
    <w:rsid w:val="4DE288A2"/>
    <w:rsid w:val="4DED3289"/>
    <w:rsid w:val="4E626385"/>
    <w:rsid w:val="4E64A833"/>
    <w:rsid w:val="4F390E6D"/>
    <w:rsid w:val="4F6058C1"/>
    <w:rsid w:val="4F672494"/>
    <w:rsid w:val="4F913A12"/>
    <w:rsid w:val="4FA8B148"/>
    <w:rsid w:val="50BBEA21"/>
    <w:rsid w:val="50C09CFD"/>
    <w:rsid w:val="50D591EA"/>
    <w:rsid w:val="50F099F7"/>
    <w:rsid w:val="51237BF8"/>
    <w:rsid w:val="512A56CC"/>
    <w:rsid w:val="51405B72"/>
    <w:rsid w:val="5196B0F4"/>
    <w:rsid w:val="51A50A03"/>
    <w:rsid w:val="5228A975"/>
    <w:rsid w:val="52DDA7C3"/>
    <w:rsid w:val="5324C875"/>
    <w:rsid w:val="535EF5C0"/>
    <w:rsid w:val="548A3AF5"/>
    <w:rsid w:val="54F67E23"/>
    <w:rsid w:val="55426B38"/>
    <w:rsid w:val="5572FB21"/>
    <w:rsid w:val="55AABE99"/>
    <w:rsid w:val="5654C861"/>
    <w:rsid w:val="56930BA5"/>
    <w:rsid w:val="56FBD56C"/>
    <w:rsid w:val="5709A4DB"/>
    <w:rsid w:val="575E1CE0"/>
    <w:rsid w:val="57E71E28"/>
    <w:rsid w:val="594A6100"/>
    <w:rsid w:val="5953B572"/>
    <w:rsid w:val="598614A6"/>
    <w:rsid w:val="59D27E23"/>
    <w:rsid w:val="5B1AB8D3"/>
    <w:rsid w:val="5B36EF8D"/>
    <w:rsid w:val="5B6F1461"/>
    <w:rsid w:val="5C5B3C3C"/>
    <w:rsid w:val="5CADB9C4"/>
    <w:rsid w:val="5CC729FD"/>
    <w:rsid w:val="5D955622"/>
    <w:rsid w:val="5DB1C992"/>
    <w:rsid w:val="5DB72761"/>
    <w:rsid w:val="5E1B4730"/>
    <w:rsid w:val="5E38A65F"/>
    <w:rsid w:val="5E6F0690"/>
    <w:rsid w:val="5E83092E"/>
    <w:rsid w:val="5EFFAB4C"/>
    <w:rsid w:val="5F1786D8"/>
    <w:rsid w:val="5F855AA5"/>
    <w:rsid w:val="5F9B7ABC"/>
    <w:rsid w:val="6008B3FF"/>
    <w:rsid w:val="604934A8"/>
    <w:rsid w:val="6088EEF0"/>
    <w:rsid w:val="6172C9C0"/>
    <w:rsid w:val="62036773"/>
    <w:rsid w:val="6263243B"/>
    <w:rsid w:val="62AAC7C4"/>
    <w:rsid w:val="630CCF9A"/>
    <w:rsid w:val="647F7F55"/>
    <w:rsid w:val="65BCEB4A"/>
    <w:rsid w:val="6615409F"/>
    <w:rsid w:val="67358186"/>
    <w:rsid w:val="682D176B"/>
    <w:rsid w:val="68E7C2B8"/>
    <w:rsid w:val="69458B04"/>
    <w:rsid w:val="69CAFF04"/>
    <w:rsid w:val="6AA58EF0"/>
    <w:rsid w:val="6AA830F4"/>
    <w:rsid w:val="6B55CD52"/>
    <w:rsid w:val="6BABABD7"/>
    <w:rsid w:val="6D4D3903"/>
    <w:rsid w:val="6DDE14A9"/>
    <w:rsid w:val="6EBEAE27"/>
    <w:rsid w:val="6FDA9DF5"/>
    <w:rsid w:val="705D3526"/>
    <w:rsid w:val="71442294"/>
    <w:rsid w:val="71869889"/>
    <w:rsid w:val="71F0AE59"/>
    <w:rsid w:val="72B1E9F5"/>
    <w:rsid w:val="734693F2"/>
    <w:rsid w:val="737AECE5"/>
    <w:rsid w:val="73F48787"/>
    <w:rsid w:val="74092BB5"/>
    <w:rsid w:val="741C1F18"/>
    <w:rsid w:val="743F7B9B"/>
    <w:rsid w:val="74AB0497"/>
    <w:rsid w:val="755CBEF0"/>
    <w:rsid w:val="756A6EB2"/>
    <w:rsid w:val="75A9CA52"/>
    <w:rsid w:val="772CBBE6"/>
    <w:rsid w:val="77BD503B"/>
    <w:rsid w:val="77FB83C5"/>
    <w:rsid w:val="79202FAE"/>
    <w:rsid w:val="7925C505"/>
    <w:rsid w:val="7933C4CD"/>
    <w:rsid w:val="79CCAD22"/>
    <w:rsid w:val="7A0AA515"/>
    <w:rsid w:val="7C41627C"/>
    <w:rsid w:val="7C42D0CE"/>
    <w:rsid w:val="7C812746"/>
    <w:rsid w:val="7CB0B471"/>
    <w:rsid w:val="7D2A6FCD"/>
    <w:rsid w:val="7D5C7B57"/>
    <w:rsid w:val="7DBF9928"/>
    <w:rsid w:val="7E1AD60A"/>
    <w:rsid w:val="7E505D09"/>
    <w:rsid w:val="7E6B6D00"/>
    <w:rsid w:val="7F1B3949"/>
    <w:rsid w:val="7F869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78FCE"/>
  <w15:docId w15:val="{EBEA7F6E-16F4-42CB-B303-61E3E710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360A9"/>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uiPriority w:val="9"/>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1C2782"/>
    <w:pPr>
      <w:spacing w:before="120" w:after="120"/>
    </w:pPr>
    <w:rPr>
      <w:b/>
      <w:bCs/>
      <w:szCs w:val="24"/>
    </w:rPr>
  </w:style>
  <w:style w:type="character" w:customStyle="1" w:styleId="CaptionChar">
    <w:name w:val="Caption Char"/>
    <w:link w:val="Caption"/>
    <w:rsid w:val="001C2782"/>
    <w:rPr>
      <w:rFonts w:ascii="Arial" w:hAnsi="Arial"/>
      <w:b/>
      <w:bCs/>
      <w:color w:val="505150"/>
      <w:sz w:val="22"/>
      <w:szCs w:val="24"/>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D8517B"/>
    <w:rPr>
      <w:color w:val="605E5C"/>
      <w:shd w:val="clear" w:color="auto" w:fill="E1DFDD"/>
    </w:rPr>
  </w:style>
  <w:style w:type="table" w:styleId="TableGrid">
    <w:name w:val="Table Grid"/>
    <w:basedOn w:val="TableNormal"/>
    <w:uiPriority w:val="59"/>
    <w:rsid w:val="00D8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75739"/>
    <w:pPr>
      <w:ind w:left="720"/>
      <w:contextualSpacing/>
    </w:pPr>
  </w:style>
  <w:style w:type="table" w:styleId="GridTable2-Accent1">
    <w:name w:val="Grid Table 2 Accent 1"/>
    <w:basedOn w:val="TableNormal"/>
    <w:uiPriority w:val="47"/>
    <w:rsid w:val="00A7573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A7573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E76F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520E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877FA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F6589F"/>
    <w:rPr>
      <w:sz w:val="16"/>
      <w:szCs w:val="16"/>
    </w:rPr>
  </w:style>
  <w:style w:type="paragraph" w:styleId="CommentText">
    <w:name w:val="annotation text"/>
    <w:basedOn w:val="Normal"/>
    <w:link w:val="CommentTextChar"/>
    <w:uiPriority w:val="99"/>
    <w:unhideWhenUsed/>
    <w:rsid w:val="00F6589F"/>
    <w:pPr>
      <w:spacing w:after="120"/>
    </w:pPr>
    <w:rPr>
      <w:rFonts w:asciiTheme="minorHAnsi" w:eastAsiaTheme="minorEastAsia" w:hAnsiTheme="minorHAnsi" w:cstheme="minorBidi"/>
      <w:color w:val="auto"/>
      <w:szCs w:val="20"/>
    </w:rPr>
  </w:style>
  <w:style w:type="character" w:customStyle="1" w:styleId="CommentTextChar">
    <w:name w:val="Comment Text Char"/>
    <w:basedOn w:val="DefaultParagraphFont"/>
    <w:link w:val="CommentText"/>
    <w:uiPriority w:val="99"/>
    <w:rsid w:val="00F6589F"/>
    <w:rPr>
      <w:rFonts w:asciiTheme="minorHAnsi" w:eastAsiaTheme="minorEastAsia" w:hAnsiTheme="minorHAnsi" w:cstheme="minorBidi"/>
      <w:sz w:val="22"/>
    </w:rPr>
  </w:style>
  <w:style w:type="table" w:customStyle="1" w:styleId="MediumShading1-Accent11">
    <w:name w:val="Medium Shading 1 - Accent 11"/>
    <w:basedOn w:val="TableNormal"/>
    <w:uiPriority w:val="63"/>
    <w:rsid w:val="00EE31F3"/>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636FCD"/>
    <w:pPr>
      <w:spacing w:after="240"/>
    </w:pPr>
    <w:rPr>
      <w:rFonts w:ascii="Arial" w:eastAsia="Times New Roman" w:hAnsi="Arial" w:cs="Times New Roman"/>
      <w:b/>
      <w:bCs/>
      <w:color w:val="505150"/>
      <w:sz w:val="20"/>
    </w:rPr>
  </w:style>
  <w:style w:type="character" w:customStyle="1" w:styleId="CommentSubjectChar">
    <w:name w:val="Comment Subject Char"/>
    <w:basedOn w:val="CommentTextChar"/>
    <w:link w:val="CommentSubject"/>
    <w:uiPriority w:val="99"/>
    <w:semiHidden/>
    <w:rsid w:val="00636FCD"/>
    <w:rPr>
      <w:rFonts w:ascii="Arial" w:eastAsiaTheme="minorEastAsia" w:hAnsi="Arial" w:cstheme="minorBidi"/>
      <w:b/>
      <w:bCs/>
      <w:color w:val="505150"/>
      <w:sz w:val="22"/>
    </w:rPr>
  </w:style>
  <w:style w:type="paragraph" w:customStyle="1" w:styleId="ATSectionText">
    <w:name w:val="AT Section Text"/>
    <w:basedOn w:val="Normal"/>
    <w:autoRedefine/>
    <w:qFormat/>
    <w:rsid w:val="00C27F2E"/>
    <w:pPr>
      <w:jc w:val="both"/>
    </w:pPr>
    <w:rPr>
      <w:color w:val="auto"/>
      <w:szCs w:val="20"/>
    </w:rPr>
  </w:style>
  <w:style w:type="paragraph" w:styleId="Revision">
    <w:name w:val="Revision"/>
    <w:hidden/>
    <w:uiPriority w:val="71"/>
    <w:rsid w:val="002F69F9"/>
    <w:rPr>
      <w:rFonts w:ascii="Arial" w:hAnsi="Arial"/>
      <w:color w:val="505150"/>
      <w:sz w:val="22"/>
      <w:szCs w:val="22"/>
    </w:rPr>
  </w:style>
  <w:style w:type="paragraph" w:styleId="NormalWeb">
    <w:name w:val="Normal (Web)"/>
    <w:basedOn w:val="Normal"/>
    <w:uiPriority w:val="99"/>
    <w:semiHidden/>
    <w:unhideWhenUsed/>
    <w:rsid w:val="005D3E9B"/>
    <w:pPr>
      <w:spacing w:before="100" w:beforeAutospacing="1" w:after="100" w:afterAutospacing="1"/>
    </w:pPr>
    <w:rPr>
      <w:rFonts w:ascii="Times New Roman" w:hAnsi="Times New Roman"/>
      <w:color w:val="auto"/>
      <w:sz w:val="24"/>
      <w:szCs w:val="24"/>
    </w:rPr>
  </w:style>
  <w:style w:type="paragraph" w:customStyle="1" w:styleId="paragraph">
    <w:name w:val="paragraph"/>
    <w:basedOn w:val="Normal"/>
    <w:rsid w:val="008D6C8D"/>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8D6C8D"/>
  </w:style>
  <w:style w:type="character" w:customStyle="1" w:styleId="eop">
    <w:name w:val="eop"/>
    <w:basedOn w:val="DefaultParagraphFont"/>
    <w:rsid w:val="008D6C8D"/>
  </w:style>
  <w:style w:type="table" w:styleId="GridTable5Dark-Accent1">
    <w:name w:val="Grid Table 5 Dark Accent 1"/>
    <w:basedOn w:val="TableNormal"/>
    <w:uiPriority w:val="50"/>
    <w:rsid w:val="000548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cxw123815156">
    <w:name w:val="scxw123815156"/>
    <w:basedOn w:val="DefaultParagraphFont"/>
    <w:rsid w:val="007C7C65"/>
  </w:style>
  <w:style w:type="paragraph" w:customStyle="1" w:styleId="ReportTitle">
    <w:name w:val="Report Title"/>
    <w:basedOn w:val="DocumentTitle"/>
    <w:qFormat/>
    <w:rsid w:val="00BA341D"/>
    <w:rPr>
      <w:caps/>
      <w:color w:val="000000" w:themeColor="text1"/>
      <w:spacing w:val="-10"/>
      <w:sz w:val="42"/>
    </w:rPr>
  </w:style>
  <w:style w:type="paragraph" w:customStyle="1" w:styleId="TableHeader">
    <w:name w:val="Table Header"/>
    <w:basedOn w:val="Normal"/>
    <w:rsid w:val="005D16E3"/>
    <w:pPr>
      <w:spacing w:before="240" w:after="60"/>
    </w:pPr>
    <w:rPr>
      <w:rFonts w:ascii="Arial Nova" w:hAnsi="Arial Nova" w:cs="Arial"/>
      <w:b/>
      <w:bCs/>
      <w:color w:val="626366"/>
      <w:szCs w:val="32"/>
    </w:rPr>
  </w:style>
  <w:style w:type="paragraph" w:customStyle="1" w:styleId="TableTextCurrency">
    <w:name w:val="Table Text Currency"/>
    <w:basedOn w:val="Normal"/>
    <w:rsid w:val="005D16E3"/>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 w:type="paragraph" w:styleId="FootnoteText">
    <w:name w:val="footnote text"/>
    <w:basedOn w:val="Normal"/>
    <w:link w:val="FootnoteTextChar"/>
    <w:uiPriority w:val="99"/>
    <w:semiHidden/>
    <w:unhideWhenUsed/>
    <w:rsid w:val="00A02CDC"/>
    <w:pPr>
      <w:spacing w:after="0"/>
    </w:pPr>
    <w:rPr>
      <w:color w:val="171717"/>
      <w:sz w:val="20"/>
      <w:szCs w:val="20"/>
    </w:rPr>
  </w:style>
  <w:style w:type="character" w:customStyle="1" w:styleId="FootnoteTextChar">
    <w:name w:val="Footnote Text Char"/>
    <w:basedOn w:val="DefaultParagraphFont"/>
    <w:link w:val="FootnoteText"/>
    <w:uiPriority w:val="99"/>
    <w:semiHidden/>
    <w:rsid w:val="00A02CDC"/>
    <w:rPr>
      <w:rFonts w:ascii="Arial" w:hAnsi="Arial"/>
      <w:color w:val="171717"/>
    </w:rPr>
  </w:style>
  <w:style w:type="character" w:styleId="FootnoteReference">
    <w:name w:val="footnote reference"/>
    <w:basedOn w:val="DefaultParagraphFont"/>
    <w:uiPriority w:val="99"/>
    <w:semiHidden/>
    <w:unhideWhenUsed/>
    <w:rsid w:val="00A02CDC"/>
    <w:rPr>
      <w:vertAlign w:val="superscript"/>
    </w:rPr>
  </w:style>
  <w:style w:type="table" w:customStyle="1" w:styleId="GridTable2-Accent51">
    <w:name w:val="Grid Table 2 - Accent 51"/>
    <w:basedOn w:val="TableNormal"/>
    <w:next w:val="GridTable2-Accent5"/>
    <w:uiPriority w:val="47"/>
    <w:rsid w:val="002E2608"/>
    <w:tblPr>
      <w:tblStyleRowBandSize w:val="1"/>
      <w:tblStyleColBandSize w:val="1"/>
      <w:tblBorders>
        <w:top w:val="single" w:sz="2" w:space="0" w:color="B1B1B1"/>
        <w:bottom w:val="single" w:sz="2" w:space="0" w:color="B1B1B1"/>
        <w:insideH w:val="single" w:sz="2" w:space="0" w:color="B1B1B1"/>
        <w:insideV w:val="single" w:sz="2" w:space="0" w:color="B1B1B1"/>
      </w:tblBorders>
    </w:tblPr>
    <w:tblStylePr w:type="firstRow">
      <w:rPr>
        <w:b/>
        <w:bCs/>
      </w:rPr>
      <w:tblPr/>
      <w:tcPr>
        <w:tcBorders>
          <w:top w:val="nil"/>
          <w:bottom w:val="single" w:sz="12" w:space="0" w:color="B1B1B1"/>
          <w:insideH w:val="nil"/>
          <w:insideV w:val="nil"/>
        </w:tcBorders>
        <w:shd w:val="clear" w:color="auto" w:fill="FFFFFF"/>
      </w:tcPr>
    </w:tblStylePr>
    <w:tblStylePr w:type="lastRow">
      <w:rPr>
        <w:b/>
        <w:bCs/>
      </w:rPr>
      <w:tblPr/>
      <w:tcPr>
        <w:tcBorders>
          <w:top w:val="double" w:sz="2" w:space="0" w:color="B1B1B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styleId="GridTable2-Accent5">
    <w:name w:val="Grid Table 2 Accent 5"/>
    <w:basedOn w:val="TableNormal"/>
    <w:uiPriority w:val="47"/>
    <w:rsid w:val="002E260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483813566">
      <w:bodyDiv w:val="1"/>
      <w:marLeft w:val="0"/>
      <w:marRight w:val="0"/>
      <w:marTop w:val="0"/>
      <w:marBottom w:val="0"/>
      <w:divBdr>
        <w:top w:val="none" w:sz="0" w:space="0" w:color="auto"/>
        <w:left w:val="none" w:sz="0" w:space="0" w:color="auto"/>
        <w:bottom w:val="none" w:sz="0" w:space="0" w:color="auto"/>
        <w:right w:val="none" w:sz="0" w:space="0" w:color="auto"/>
      </w:divBdr>
    </w:div>
    <w:div w:id="594870642">
      <w:bodyDiv w:val="1"/>
      <w:marLeft w:val="0"/>
      <w:marRight w:val="0"/>
      <w:marTop w:val="0"/>
      <w:marBottom w:val="0"/>
      <w:divBdr>
        <w:top w:val="none" w:sz="0" w:space="0" w:color="auto"/>
        <w:left w:val="none" w:sz="0" w:space="0" w:color="auto"/>
        <w:bottom w:val="none" w:sz="0" w:space="0" w:color="auto"/>
        <w:right w:val="none" w:sz="0" w:space="0" w:color="auto"/>
      </w:divBdr>
    </w:div>
    <w:div w:id="1071541105">
      <w:bodyDiv w:val="1"/>
      <w:marLeft w:val="0"/>
      <w:marRight w:val="0"/>
      <w:marTop w:val="0"/>
      <w:marBottom w:val="0"/>
      <w:divBdr>
        <w:top w:val="none" w:sz="0" w:space="0" w:color="auto"/>
        <w:left w:val="none" w:sz="0" w:space="0" w:color="auto"/>
        <w:bottom w:val="none" w:sz="0" w:space="0" w:color="auto"/>
        <w:right w:val="none" w:sz="0" w:space="0" w:color="auto"/>
      </w:divBdr>
      <w:divsChild>
        <w:div w:id="706299068">
          <w:marLeft w:val="0"/>
          <w:marRight w:val="0"/>
          <w:marTop w:val="0"/>
          <w:marBottom w:val="0"/>
          <w:divBdr>
            <w:top w:val="none" w:sz="0" w:space="0" w:color="auto"/>
            <w:left w:val="none" w:sz="0" w:space="0" w:color="auto"/>
            <w:bottom w:val="none" w:sz="0" w:space="0" w:color="auto"/>
            <w:right w:val="none" w:sz="0" w:space="0" w:color="auto"/>
          </w:divBdr>
        </w:div>
        <w:div w:id="1970361175">
          <w:marLeft w:val="0"/>
          <w:marRight w:val="0"/>
          <w:marTop w:val="0"/>
          <w:marBottom w:val="0"/>
          <w:divBdr>
            <w:top w:val="none" w:sz="0" w:space="0" w:color="auto"/>
            <w:left w:val="none" w:sz="0" w:space="0" w:color="auto"/>
            <w:bottom w:val="none" w:sz="0" w:space="0" w:color="auto"/>
            <w:right w:val="none" w:sz="0" w:space="0" w:color="auto"/>
          </w:divBdr>
        </w:div>
      </w:divsChild>
    </w:div>
    <w:div w:id="1310598859">
      <w:bodyDiv w:val="1"/>
      <w:marLeft w:val="0"/>
      <w:marRight w:val="0"/>
      <w:marTop w:val="0"/>
      <w:marBottom w:val="0"/>
      <w:divBdr>
        <w:top w:val="none" w:sz="0" w:space="0" w:color="auto"/>
        <w:left w:val="none" w:sz="0" w:space="0" w:color="auto"/>
        <w:bottom w:val="none" w:sz="0" w:space="0" w:color="auto"/>
        <w:right w:val="none" w:sz="0" w:space="0" w:color="auto"/>
      </w:divBdr>
    </w:div>
    <w:div w:id="179204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rocouncil.org/Transportation/Planning-2/Transportation-Funding/Regional-Transportation-Sales-and-Use-Tax.aspx" TargetMode="External"/><Relationship Id="rId18" Type="http://schemas.openxmlformats.org/officeDocument/2006/relationships/hyperlink" Target="mailto:RegionalSolicitationSupport@metc.state.mn.us" TargetMode="External"/><Relationship Id="rId26" Type="http://schemas.openxmlformats.org/officeDocument/2006/relationships/hyperlink" Target="https://metrocouncil.org/TIP.aspx" TargetMode="External"/><Relationship Id="rId39" Type="http://schemas.openxmlformats.org/officeDocument/2006/relationships/hyperlink" Target="mailto:RegionalSolicitationSupport@metc.state.mn.us" TargetMode="External"/><Relationship Id="rId21" Type="http://schemas.openxmlformats.org/officeDocument/2006/relationships/hyperlink" Target="https://www.metrotransit.org/arterial-brt-plan" TargetMode="External"/><Relationship Id="rId34" Type="http://schemas.openxmlformats.org/officeDocument/2006/relationships/hyperlink" Target="mailto:Steven.Peterson@metc.state.mn.us" TargetMode="External"/><Relationship Id="rId42" Type="http://schemas.openxmlformats.org/officeDocument/2006/relationships/hyperlink" Target="mailto:Kevin.sommers@state.mn.us" TargetMode="External"/><Relationship Id="rId47" Type="http://schemas.openxmlformats.org/officeDocument/2006/relationships/hyperlink" Target="mailto:Steven.peterson@metc.state.mn.us" TargetMode="External"/><Relationship Id="rId50" Type="http://schemas.openxmlformats.org/officeDocument/2006/relationships/hyperlink" Target="mailto:Amy.vennewitz@metc.state.mn.us" TargetMode="External"/><Relationship Id="rId55" Type="http://schemas.openxmlformats.org/officeDocument/2006/relationships/hyperlink" Target="mailto:Steven.peterson@metc.state.mn.us" TargetMode="External"/><Relationship Id="rId63" Type="http://schemas.openxmlformats.org/officeDocument/2006/relationships/hyperlink" Target="mailto:Wendy.duren@metc.state.mn.us"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magine2050.metrocouncil.org/" TargetMode="External"/><Relationship Id="rId29" Type="http://schemas.openxmlformats.org/officeDocument/2006/relationships/hyperlink" Target="https://metrocouncil.org/Transportation/Planning-2/Transportation-Planning-Process/Transportation-Advisory-Board/TAB-Policies/Regional-Program-Year-Policy-TAB.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trocouncil.org/Council-Meetings/Committees/Transportation-Advisory-Board-TAB/TAB-Technical-Advisory-Committee.aspx" TargetMode="External"/><Relationship Id="rId32" Type="http://schemas.openxmlformats.org/officeDocument/2006/relationships/hyperlink" Target="mailto:Maurice.Roers@state.mn.us" TargetMode="External"/><Relationship Id="rId37" Type="http://schemas.openxmlformats.org/officeDocument/2006/relationships/hyperlink" Target="https://metrocouncil.org/Transportation/Planning-2/Transportation-Funding/Regional-Solicitation/Applying-for-Regional-Solicitation-funds/Training-Opportunities.aspx" TargetMode="External"/><Relationship Id="rId40" Type="http://schemas.openxmlformats.org/officeDocument/2006/relationships/hyperlink" Target="mailto:Bethany.brandt-sargent@metc.state.mn.us" TargetMode="External"/><Relationship Id="rId45" Type="http://schemas.openxmlformats.org/officeDocument/2006/relationships/hyperlink" Target="mailto:Colleen.brown@state.mn.us" TargetMode="External"/><Relationship Id="rId53" Type="http://schemas.openxmlformats.org/officeDocument/2006/relationships/hyperlink" Target="mailto:Heather.giesel@metc.state.mn.us" TargetMode="External"/><Relationship Id="rId58" Type="http://schemas.openxmlformats.org/officeDocument/2006/relationships/hyperlink" Target="https://highways.dot.gov/safety/zero-deaths"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trocouncil.org/Transportation/Planning-2/Transportation-Funding/Regional-Solicitation/Regional-Solicitation-Background-and-Details.aspx" TargetMode="External"/><Relationship Id="rId23" Type="http://schemas.openxmlformats.org/officeDocument/2006/relationships/hyperlink" Target="https://metrocouncil.org/Council-Meetings/Committees/Transportation-Advisory-Board-TAB/TAB-Technical-Advisory-Committee/TAC-Funding-and-Programming-Committee.aspx" TargetMode="External"/><Relationship Id="rId28" Type="http://schemas.openxmlformats.org/officeDocument/2006/relationships/hyperlink" Target="https://metrocouncil.org/TIP.aspx" TargetMode="External"/><Relationship Id="rId36" Type="http://schemas.openxmlformats.org/officeDocument/2006/relationships/hyperlink" Target="mailto:Bradley.Bobbitt@metc.state.mn.us" TargetMode="External"/><Relationship Id="rId49" Type="http://schemas.openxmlformats.org/officeDocument/2006/relationships/hyperlink" Target="mailto:Jed.hanson@metc.state.mn.us" TargetMode="External"/><Relationship Id="rId57" Type="http://schemas.openxmlformats.org/officeDocument/2006/relationships/hyperlink" Target="mailto:Steven.peterson@metc.state.mn.us" TargetMode="External"/><Relationship Id="rId61" Type="http://schemas.openxmlformats.org/officeDocument/2006/relationships/hyperlink" Target="https://highways.dot.gov/safety/proven-safety-countermeasures"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revisor.mn.gov/statutes/cite/161.178" TargetMode="External"/><Relationship Id="rId44" Type="http://schemas.openxmlformats.org/officeDocument/2006/relationships/hyperlink" Target="mailto:Derek.lehrke@state.mn.us" TargetMode="External"/><Relationship Id="rId52" Type="http://schemas.openxmlformats.org/officeDocument/2006/relationships/hyperlink" Target="mailto:Bradley.bobbitt@metc.state.mn.us" TargetMode="External"/><Relationship Id="rId60" Type="http://schemas.openxmlformats.org/officeDocument/2006/relationships/hyperlink" Target="https://highways.dot.gov/safety/zero-death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trocouncil.org/Transportation/Planning-2/Transportation-Funding/Regional-Transportation-Sales-and-Use-Tax/Active-Transportation.aspx" TargetMode="External"/><Relationship Id="rId22" Type="http://schemas.openxmlformats.org/officeDocument/2006/relationships/hyperlink" Target="mailto:Joseph.barbeau@metc.state.mn.us" TargetMode="External"/><Relationship Id="rId27" Type="http://schemas.openxmlformats.org/officeDocument/2006/relationships/hyperlink" Target="https://arcgis.metc.state.mn.us/portal/apps/experiencebuilder/experience/?id=c86d09aa00dc435c9f7fff3c74e783ba" TargetMode="External"/><Relationship Id="rId30" Type="http://schemas.openxmlformats.org/officeDocument/2006/relationships/hyperlink" Target="https://metrocouncil.org/Transportation/Planning-2/Transportation-Planning-Process/Transportation-Advisory-Board/TAB-Policies/Scope-Change-Evaluation-Process.aspx" TargetMode="External"/><Relationship Id="rId35" Type="http://schemas.openxmlformats.org/officeDocument/2006/relationships/hyperlink" Target="mailto:Heather.giesel@metc.state.mn.us" TargetMode="External"/><Relationship Id="rId43" Type="http://schemas.openxmlformats.org/officeDocument/2006/relationships/hyperlink" Target="mailto:Chad.erickson@state.mn.us" TargetMode="External"/><Relationship Id="rId48" Type="http://schemas.openxmlformats.org/officeDocument/2006/relationships/hyperlink" Target="mailto:Dave.cowan@state.mn.us" TargetMode="External"/><Relationship Id="rId56" Type="http://schemas.openxmlformats.org/officeDocument/2006/relationships/hyperlink" Target="mailto:Steven.peterson@metc.state.mn.us"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Dennis.farmer@metc.state.mn.us" TargetMode="External"/><Relationship Id="rId3" Type="http://schemas.openxmlformats.org/officeDocument/2006/relationships/customXml" Target="../customXml/item3.xml"/><Relationship Id="rId12" Type="http://schemas.openxmlformats.org/officeDocument/2006/relationships/hyperlink" Target="https://metrocouncil.org/Transportation/Planning-2/Transportation-Funding/Regional-Solicitation/Applying-for-Regional-Solicitation-funds.aspx" TargetMode="External"/><Relationship Id="rId17" Type="http://schemas.openxmlformats.org/officeDocument/2006/relationships/hyperlink" Target="https://imagine2050.metrocouncil.org/read-the-plans/transportation/" TargetMode="External"/><Relationship Id="rId25" Type="http://schemas.openxmlformats.org/officeDocument/2006/relationships/hyperlink" Target="https://metrocouncil.org/Council-Meetings/Committees/Transportation-Advisory-Board-TAB.aspx" TargetMode="External"/><Relationship Id="rId33" Type="http://schemas.openxmlformats.org/officeDocument/2006/relationships/hyperlink" Target="https://metrocouncil.org/Transportation/System/Highways/Congestion/Congestion-Management-Process.aspx" TargetMode="External"/><Relationship Id="rId38" Type="http://schemas.openxmlformats.org/officeDocument/2006/relationships/hyperlink" Target="mailto:RegionalSolicitationSupport@metc.state.mn.us" TargetMode="External"/><Relationship Id="rId46" Type="http://schemas.openxmlformats.org/officeDocument/2006/relationships/hyperlink" Target="mailto:Molly.mccormick@state.mn.us" TargetMode="External"/><Relationship Id="rId59" Type="http://schemas.openxmlformats.org/officeDocument/2006/relationships/hyperlink" Target="https://highways.dot.gov/safety/proven-safety-countermeasures" TargetMode="External"/><Relationship Id="rId67" Type="http://schemas.openxmlformats.org/officeDocument/2006/relationships/footer" Target="footer3.xml"/><Relationship Id="rId20" Type="http://schemas.openxmlformats.org/officeDocument/2006/relationships/hyperlink" Target="https://highways.dot.gov/safety/zero-deaths" TargetMode="External"/><Relationship Id="rId41" Type="http://schemas.openxmlformats.org/officeDocument/2006/relationships/hyperlink" Target="mailto:Joseph.barbeau@metc.state.mn.us" TargetMode="External"/><Relationship Id="rId54" Type="http://schemas.openxmlformats.org/officeDocument/2006/relationships/hyperlink" Target="mailto:Tony.fischer@metc.state.mn.us" TargetMode="External"/><Relationship Id="rId62" Type="http://schemas.openxmlformats.org/officeDocument/2006/relationships/hyperlink" Target="https://www.dot.state.mn.us/bridge/bridgereport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visor.mn.gov/statutes/cite/161.178" TargetMode="External"/><Relationship Id="rId2" Type="http://schemas.openxmlformats.org/officeDocument/2006/relationships/hyperlink" Target="https://www.dot.state.mn.us/sustainability/ghg-relevant-statutes.html" TargetMode="External"/><Relationship Id="rId1" Type="http://schemas.openxmlformats.org/officeDocument/2006/relationships/hyperlink" Target="https://www.revisor.mn.gov/statutes/cite/161.178" TargetMode="External"/><Relationship Id="rId4" Type="http://schemas.openxmlformats.org/officeDocument/2006/relationships/hyperlink" Target="https://www.dot.state.mn.us/sustainability/ghg-relevant-statu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f0ffc36-a9af-4332-beee-56f6503c83c2"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Props1.xml><?xml version="1.0" encoding="utf-8"?>
<ds:datastoreItem xmlns:ds="http://schemas.openxmlformats.org/officeDocument/2006/customXml" ds:itemID="{FF1C80D5-F589-49A1-84A1-BC2B594962C7}"/>
</file>

<file path=customXml/itemProps2.xml><?xml version="1.0" encoding="utf-8"?>
<ds:datastoreItem xmlns:ds="http://schemas.openxmlformats.org/officeDocument/2006/customXml" ds:itemID="{A595184E-4401-4C4E-917E-1E7424C82E67}">
  <ds:schemaRefs>
    <ds:schemaRef ds:uri="http://schemas.microsoft.com/sharepoint/v3/contenttype/forms"/>
  </ds:schemaRefs>
</ds:datastoreItem>
</file>

<file path=customXml/itemProps3.xml><?xml version="1.0" encoding="utf-8"?>
<ds:datastoreItem xmlns:ds="http://schemas.openxmlformats.org/officeDocument/2006/customXml" ds:itemID="{9E7310D4-CCAC-4627-BC9A-42596E69E7B6}">
  <ds:schemaRefs>
    <ds:schemaRef ds:uri="Microsoft.SharePoint.Taxonomy.ContentTypeSync"/>
  </ds:schemaRefs>
</ds:datastoreItem>
</file>

<file path=customXml/itemProps4.xml><?xml version="1.0" encoding="utf-8"?>
<ds:datastoreItem xmlns:ds="http://schemas.openxmlformats.org/officeDocument/2006/customXml" ds:itemID="{50A6B45A-7226-45CD-8446-2C769960B098}">
  <ds:schemaRefs>
    <ds:schemaRef ds:uri="http://schemas.openxmlformats.org/officeDocument/2006/bibliography"/>
  </ds:schemaRefs>
</ds:datastoreItem>
</file>

<file path=customXml/itemProps5.xml><?xml version="1.0" encoding="utf-8"?>
<ds:datastoreItem xmlns:ds="http://schemas.openxmlformats.org/officeDocument/2006/customXml" ds:itemID="{A6B90E98-EE77-4A2C-8010-5BF4140B1B45}">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36</Pages>
  <Words>11080</Words>
  <Characters>63493</Characters>
  <Application>Microsoft Office Word</Application>
  <DocSecurity>0</DocSecurity>
  <Lines>933</Lines>
  <Paragraphs>317</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74256</CharactersWithSpaces>
  <SharedDoc>false</SharedDoc>
  <HLinks>
    <vt:vector size="150" baseType="variant">
      <vt:variant>
        <vt:i4>7667717</vt:i4>
      </vt:variant>
      <vt:variant>
        <vt:i4>72</vt:i4>
      </vt:variant>
      <vt:variant>
        <vt:i4>0</vt:i4>
      </vt:variant>
      <vt:variant>
        <vt:i4>5</vt:i4>
      </vt:variant>
      <vt:variant>
        <vt:lpwstr>mailto:David.burns@metc.state.mn.us</vt:lpwstr>
      </vt:variant>
      <vt:variant>
        <vt:lpwstr/>
      </vt:variant>
      <vt:variant>
        <vt:i4>7667717</vt:i4>
      </vt:variant>
      <vt:variant>
        <vt:i4>69</vt:i4>
      </vt:variant>
      <vt:variant>
        <vt:i4>0</vt:i4>
      </vt:variant>
      <vt:variant>
        <vt:i4>5</vt:i4>
      </vt:variant>
      <vt:variant>
        <vt:lpwstr>mailto:David.burns@metc.state.mn.us</vt:lpwstr>
      </vt:variant>
      <vt:variant>
        <vt:lpwstr/>
      </vt:variant>
      <vt:variant>
        <vt:i4>2097229</vt:i4>
      </vt:variant>
      <vt:variant>
        <vt:i4>66</vt:i4>
      </vt:variant>
      <vt:variant>
        <vt:i4>0</vt:i4>
      </vt:variant>
      <vt:variant>
        <vt:i4>5</vt:i4>
      </vt:variant>
      <vt:variant>
        <vt:lpwstr>mailto:Steven.peterson@metc.state.mn.us</vt:lpwstr>
      </vt:variant>
      <vt:variant>
        <vt:lpwstr/>
      </vt:variant>
      <vt:variant>
        <vt:i4>3670097</vt:i4>
      </vt:variant>
      <vt:variant>
        <vt:i4>63</vt:i4>
      </vt:variant>
      <vt:variant>
        <vt:i4>0</vt:i4>
      </vt:variant>
      <vt:variant>
        <vt:i4>5</vt:i4>
      </vt:variant>
      <vt:variant>
        <vt:lpwstr>mailto:Tony.fischer@metc.state.mn.us</vt:lpwstr>
      </vt:variant>
      <vt:variant>
        <vt:lpwstr/>
      </vt:variant>
      <vt:variant>
        <vt:i4>1507428</vt:i4>
      </vt:variant>
      <vt:variant>
        <vt:i4>60</vt:i4>
      </vt:variant>
      <vt:variant>
        <vt:i4>0</vt:i4>
      </vt:variant>
      <vt:variant>
        <vt:i4>5</vt:i4>
      </vt:variant>
      <vt:variant>
        <vt:lpwstr>mailto:Heather.giesel@metc.state.mn.us</vt:lpwstr>
      </vt:variant>
      <vt:variant>
        <vt:lpwstr/>
      </vt:variant>
      <vt:variant>
        <vt:i4>1835116</vt:i4>
      </vt:variant>
      <vt:variant>
        <vt:i4>57</vt:i4>
      </vt:variant>
      <vt:variant>
        <vt:i4>0</vt:i4>
      </vt:variant>
      <vt:variant>
        <vt:i4>5</vt:i4>
      </vt:variant>
      <vt:variant>
        <vt:lpwstr>mailto:bradley.bobbit@metc.state.mn.us</vt:lpwstr>
      </vt:variant>
      <vt:variant>
        <vt:lpwstr/>
      </vt:variant>
      <vt:variant>
        <vt:i4>5439537</vt:i4>
      </vt:variant>
      <vt:variant>
        <vt:i4>54</vt:i4>
      </vt:variant>
      <vt:variant>
        <vt:i4>0</vt:i4>
      </vt:variant>
      <vt:variant>
        <vt:i4>5</vt:i4>
      </vt:variant>
      <vt:variant>
        <vt:lpwstr>mailto:Dennis.farmer@metc.state.mn.us</vt:lpwstr>
      </vt:variant>
      <vt:variant>
        <vt:lpwstr/>
      </vt:variant>
      <vt:variant>
        <vt:i4>1441907</vt:i4>
      </vt:variant>
      <vt:variant>
        <vt:i4>51</vt:i4>
      </vt:variant>
      <vt:variant>
        <vt:i4>0</vt:i4>
      </vt:variant>
      <vt:variant>
        <vt:i4>5</vt:i4>
      </vt:variant>
      <vt:variant>
        <vt:lpwstr>mailto:Amy.vennewitz@metc.state.mn.us</vt:lpwstr>
      </vt:variant>
      <vt:variant>
        <vt:lpwstr/>
      </vt:variant>
      <vt:variant>
        <vt:i4>2555997</vt:i4>
      </vt:variant>
      <vt:variant>
        <vt:i4>48</vt:i4>
      </vt:variant>
      <vt:variant>
        <vt:i4>0</vt:i4>
      </vt:variant>
      <vt:variant>
        <vt:i4>5</vt:i4>
      </vt:variant>
      <vt:variant>
        <vt:lpwstr>mailto:Cole.Hiniker@metc.state.mn.us</vt:lpwstr>
      </vt:variant>
      <vt:variant>
        <vt:lpwstr/>
      </vt:variant>
      <vt:variant>
        <vt:i4>2424832</vt:i4>
      </vt:variant>
      <vt:variant>
        <vt:i4>45</vt:i4>
      </vt:variant>
      <vt:variant>
        <vt:i4>0</vt:i4>
      </vt:variant>
      <vt:variant>
        <vt:i4>5</vt:i4>
      </vt:variant>
      <vt:variant>
        <vt:lpwstr>mailto:Dave.Cowan@state.mn.us</vt:lpwstr>
      </vt:variant>
      <vt:variant>
        <vt:lpwstr/>
      </vt:variant>
      <vt:variant>
        <vt:i4>4063325</vt:i4>
      </vt:variant>
      <vt:variant>
        <vt:i4>42</vt:i4>
      </vt:variant>
      <vt:variant>
        <vt:i4>0</vt:i4>
      </vt:variant>
      <vt:variant>
        <vt:i4>5</vt:i4>
      </vt:variant>
      <vt:variant>
        <vt:lpwstr>mailto:David.Elvin@state.dot.mn.us</vt:lpwstr>
      </vt:variant>
      <vt:variant>
        <vt:lpwstr/>
      </vt:variant>
      <vt:variant>
        <vt:i4>6422640</vt:i4>
      </vt:variant>
      <vt:variant>
        <vt:i4>39</vt:i4>
      </vt:variant>
      <vt:variant>
        <vt:i4>0</vt:i4>
      </vt:variant>
      <vt:variant>
        <vt:i4>5</vt:i4>
      </vt:variant>
      <vt:variant>
        <vt:lpwstr>mailto:</vt:lpwstr>
      </vt:variant>
      <vt:variant>
        <vt:lpwstr/>
      </vt:variant>
      <vt:variant>
        <vt:i4>2293776</vt:i4>
      </vt:variant>
      <vt:variant>
        <vt:i4>36</vt:i4>
      </vt:variant>
      <vt:variant>
        <vt:i4>0</vt:i4>
      </vt:variant>
      <vt:variant>
        <vt:i4>5</vt:i4>
      </vt:variant>
      <vt:variant>
        <vt:lpwstr>mailto:Molly.mccormick@state.mn.us</vt:lpwstr>
      </vt:variant>
      <vt:variant>
        <vt:lpwstr/>
      </vt:variant>
      <vt:variant>
        <vt:i4>4325490</vt:i4>
      </vt:variant>
      <vt:variant>
        <vt:i4>33</vt:i4>
      </vt:variant>
      <vt:variant>
        <vt:i4>0</vt:i4>
      </vt:variant>
      <vt:variant>
        <vt:i4>5</vt:i4>
      </vt:variant>
      <vt:variant>
        <vt:lpwstr>mailto:Colleen.brown@state.mn.us</vt:lpwstr>
      </vt:variant>
      <vt:variant>
        <vt:lpwstr/>
      </vt:variant>
      <vt:variant>
        <vt:i4>2490370</vt:i4>
      </vt:variant>
      <vt:variant>
        <vt:i4>30</vt:i4>
      </vt:variant>
      <vt:variant>
        <vt:i4>0</vt:i4>
      </vt:variant>
      <vt:variant>
        <vt:i4>5</vt:i4>
      </vt:variant>
      <vt:variant>
        <vt:lpwstr>mailto:Mike.Fairbanks@state.mn.us</vt:lpwstr>
      </vt:variant>
      <vt:variant>
        <vt:lpwstr/>
      </vt:variant>
      <vt:variant>
        <vt:i4>327739</vt:i4>
      </vt:variant>
      <vt:variant>
        <vt:i4>27</vt:i4>
      </vt:variant>
      <vt:variant>
        <vt:i4>0</vt:i4>
      </vt:variant>
      <vt:variant>
        <vt:i4>5</vt:i4>
      </vt:variant>
      <vt:variant>
        <vt:lpwstr>mailto:Chad.erickson@state.mn.us</vt:lpwstr>
      </vt:variant>
      <vt:variant>
        <vt:lpwstr/>
      </vt:variant>
      <vt:variant>
        <vt:i4>6160493</vt:i4>
      </vt:variant>
      <vt:variant>
        <vt:i4>24</vt:i4>
      </vt:variant>
      <vt:variant>
        <vt:i4>0</vt:i4>
      </vt:variant>
      <vt:variant>
        <vt:i4>5</vt:i4>
      </vt:variant>
      <vt:variant>
        <vt:lpwstr>mailto:Kevin.Sommers@state.mn.us</vt:lpwstr>
      </vt:variant>
      <vt:variant>
        <vt:lpwstr/>
      </vt:variant>
      <vt:variant>
        <vt:i4>4587562</vt:i4>
      </vt:variant>
      <vt:variant>
        <vt:i4>21</vt:i4>
      </vt:variant>
      <vt:variant>
        <vt:i4>0</vt:i4>
      </vt:variant>
      <vt:variant>
        <vt:i4>5</vt:i4>
      </vt:variant>
      <vt:variant>
        <vt:lpwstr>mailto:Joseph.barbeau@metc.state.mn.us</vt:lpwstr>
      </vt:variant>
      <vt:variant>
        <vt:lpwstr/>
      </vt:variant>
      <vt:variant>
        <vt:i4>8192072</vt:i4>
      </vt:variant>
      <vt:variant>
        <vt:i4>18</vt:i4>
      </vt:variant>
      <vt:variant>
        <vt:i4>0</vt:i4>
      </vt:variant>
      <vt:variant>
        <vt:i4>5</vt:i4>
      </vt:variant>
      <vt:variant>
        <vt:lpwstr>mailto:webteam@metc.state.mn.us</vt:lpwstr>
      </vt:variant>
      <vt:variant>
        <vt:lpwstr/>
      </vt:variant>
      <vt:variant>
        <vt:i4>1507428</vt:i4>
      </vt:variant>
      <vt:variant>
        <vt:i4>15</vt:i4>
      </vt:variant>
      <vt:variant>
        <vt:i4>0</vt:i4>
      </vt:variant>
      <vt:variant>
        <vt:i4>5</vt:i4>
      </vt:variant>
      <vt:variant>
        <vt:lpwstr>mailto:Heather.giesel@metc.state.mn.us</vt:lpwstr>
      </vt:variant>
      <vt:variant>
        <vt:lpwstr/>
      </vt:variant>
      <vt:variant>
        <vt:i4>6750267</vt:i4>
      </vt:variant>
      <vt:variant>
        <vt:i4>12</vt:i4>
      </vt:variant>
      <vt:variant>
        <vt:i4>0</vt:i4>
      </vt:variant>
      <vt:variant>
        <vt:i4>5</vt:i4>
      </vt:variant>
      <vt:variant>
        <vt:lpwstr>https://metrocouncil.org/Transportation/Planning-2/Transportation-Planning-Process/Transportation-Advisory-Board/TAB-Policies/Scope-Change-Evaluation-Process.aspx</vt:lpwstr>
      </vt:variant>
      <vt:variant>
        <vt:lpwstr/>
      </vt:variant>
      <vt:variant>
        <vt:i4>7929976</vt:i4>
      </vt:variant>
      <vt:variant>
        <vt:i4>9</vt:i4>
      </vt:variant>
      <vt:variant>
        <vt:i4>0</vt:i4>
      </vt:variant>
      <vt:variant>
        <vt:i4>5</vt:i4>
      </vt:variant>
      <vt:variant>
        <vt:lpwstr>https://metrocouncil.org/Transportation/Planning-2/Transportation-Planning-Process/Transportation-Advisory-Board/TAB-Policies/Regional-Program-Year-Policy-TAB.aspx</vt:lpwstr>
      </vt:variant>
      <vt:variant>
        <vt:lpwstr/>
      </vt:variant>
      <vt:variant>
        <vt:i4>4587562</vt:i4>
      </vt:variant>
      <vt:variant>
        <vt:i4>6</vt:i4>
      </vt:variant>
      <vt:variant>
        <vt:i4>0</vt:i4>
      </vt:variant>
      <vt:variant>
        <vt:i4>5</vt:i4>
      </vt:variant>
      <vt:variant>
        <vt:lpwstr>mailto:Joseph.barbeau@metc.state.mn.us</vt:lpwstr>
      </vt:variant>
      <vt:variant>
        <vt:lpwstr/>
      </vt:variant>
      <vt:variant>
        <vt:i4>2752551</vt:i4>
      </vt:variant>
      <vt:variant>
        <vt:i4>3</vt:i4>
      </vt:variant>
      <vt:variant>
        <vt:i4>0</vt:i4>
      </vt:variant>
      <vt:variant>
        <vt:i4>5</vt:i4>
      </vt:variant>
      <vt:variant>
        <vt:lpwstr>https://highways.dot.gov/safety/zero-deaths</vt:lpwstr>
      </vt:variant>
      <vt:variant>
        <vt:lpwstr/>
      </vt:variant>
      <vt:variant>
        <vt:i4>4390934</vt:i4>
      </vt:variant>
      <vt:variant>
        <vt:i4>0</vt:i4>
      </vt:variant>
      <vt:variant>
        <vt:i4>0</vt:i4>
      </vt:variant>
      <vt:variant>
        <vt:i4>5</vt:i4>
      </vt:variant>
      <vt:variant>
        <vt:lpwstr>https://metrocouncil.org/Transportation/Planning-2/Transportation-Funding/Regional-Solicitation.aspx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Sara</dc:creator>
  <cp:keywords/>
  <cp:lastModifiedBy>Brandt-Sargent, Bethany</cp:lastModifiedBy>
  <cp:revision>176</cp:revision>
  <cp:lastPrinted>2012-08-30T22:29:00Z</cp:lastPrinted>
  <dcterms:created xsi:type="dcterms:W3CDTF">2025-12-10T20:08:00Z</dcterms:created>
  <dcterms:modified xsi:type="dcterms:W3CDTF">2026-04-23T20:46:00Z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